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EFA8" w14:textId="7C9D842A" w:rsidR="00FD42C1" w:rsidRPr="009B4CE5" w:rsidRDefault="00FD42C1" w:rsidP="008F5D24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9B4CE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Meede 2.2 Ettevõtlikkuse ja konkurentsivõime tõstmine </w:t>
      </w:r>
    </w:p>
    <w:p w14:paraId="4E4E9743" w14:textId="5E5D27A7" w:rsidR="00FD42C1" w:rsidRPr="009B4CE5" w:rsidRDefault="00FD42C1" w:rsidP="00FD42C1">
      <w:p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Meetmeleht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C729B4" w14:textId="6050E115" w:rsidR="00FD42C1" w:rsidRPr="009B4CE5" w:rsidRDefault="00FD42C1" w:rsidP="00FD42C1">
      <w:pPr>
        <w:tabs>
          <w:tab w:val="left" w:pos="1755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rakendamise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vajaduse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lühikirjeldus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8C247C" w14:textId="64DEB18F" w:rsidR="008F5D24" w:rsidRPr="009B4CE5" w:rsidRDefault="008F5D24" w:rsidP="008F5D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Piirkonnas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palju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mikroettevõtteid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osalemiseks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riigi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sisestel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piiriülestel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koolitustel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tootearendus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turundus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reklaam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jne</w:t>
      </w:r>
      <w:proofErr w:type="spellEnd"/>
      <w:proofErr w:type="gramStart"/>
      <w:r w:rsidRPr="009B4CE5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messidel</w:t>
      </w:r>
      <w:proofErr w:type="spellEnd"/>
      <w:proofErr w:type="gramEnd"/>
      <w:r w:rsidRPr="009B4CE5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leida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koostööpartnerid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vahetada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kogemusi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leida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turgu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rakendamisega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soovitakse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piirkonna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paremini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rakendada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kohalikku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toorainet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potentsiaali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kohalik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inimene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kultuur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loodus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miljööpärand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säästev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mereäärne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asukoht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parandada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ettevõtluskeskkonda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suurendada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ettevõtlikkust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pakkuda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seeläbi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elanikele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külastajatele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tooteid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teenuseid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soodustada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integreerimist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keskkonnasäästlikumat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majandamist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Ettevõtlustegevuse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mitmekesistamine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täiendavate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sissetulekute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saamise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võimalusi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Tegevuspiirkonnas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kasutades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võimalik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maa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linna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erinevusi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tasakaalustada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Kohaliku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peetakse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silmas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loodusvarasid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maastikku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tööjõudu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piirkonnale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iseloomulikke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oskusi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traditsioone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rakendamise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avaldub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algatuste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paranenud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rakendamise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tulemusena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tekib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piirkonda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uusi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parendatud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tooteid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teenuseid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töökohti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suureneb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ettevõtlikkus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paranevad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töötajate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oskused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.</w:t>
      </w:r>
    </w:p>
    <w:p w14:paraId="6660916C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Strateegia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:</w:t>
      </w:r>
    </w:p>
    <w:p w14:paraId="0474789F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strateegiline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mitmekesine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konkurentsivõimeline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726B2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Alameetme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olemasolevate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potentsiaalsete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ettevõtlikkuse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kasv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paranenud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E06606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fookuseks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on:</w:t>
      </w:r>
    </w:p>
    <w:p w14:paraId="085A8CDA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kohalikul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ressursil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põhinevate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uudsete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väljaarendamine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AB379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Eelistatud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on:</w:t>
      </w:r>
    </w:p>
    <w:p w14:paraId="21B7B70D" w14:textId="7103D1CA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kohalikul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ressursil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põhinevate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uudsete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väljaarendamine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seejuures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kaitstes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hoides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olemasolevaid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ressursse</w:t>
      </w:r>
      <w:proofErr w:type="spellEnd"/>
    </w:p>
    <w:p w14:paraId="3A94325C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626E5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Toetatavad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tegevused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9FC4FA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toetatakse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järgmiste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kulusid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D896F0E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Elanikkonna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ettevõtlikkuse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suurendamine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mitmete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propageerivate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ürituste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kaudu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õppereiside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noorte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initsiatiivikust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toetavate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algatuste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käivitamine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läbiviimine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596F1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teadmiste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oskuste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edendamine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töötubade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õppereiside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külastamise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mentorite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ekspertide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kaasamise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kaudu</w:t>
      </w:r>
      <w:proofErr w:type="spellEnd"/>
    </w:p>
    <w:p w14:paraId="5DE2B27E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Erinevate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otseturundamisele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sisseostetavad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tootearendusteenused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näit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konsultatsioonid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).</w:t>
      </w:r>
    </w:p>
    <w:p w14:paraId="0D313115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Abikõlbulikud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79041D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infopäevade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konverentside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õpitubade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külastamise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külastamise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õppereiside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korraldamise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s.h.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ruumide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esitlustehnika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rent,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tõlketeenus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transport,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toitlustus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majutus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koolitaja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lektori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töötasu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osalemistasud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koolitusmaterjalide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koostamise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)</w:t>
      </w:r>
    </w:p>
    <w:p w14:paraId="60386DAF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lastRenderedPageBreak/>
        <w:t xml:space="preserve"> 2.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Ühisprojektide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raames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korraldatavate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propageerivate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ürituste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laadad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töötoad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õppereisid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korraldamise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külastuse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osalemistasud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transport,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tõlketeenus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toitlustus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majutus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</w:t>
      </w:r>
      <w:proofErr w:type="spellEnd"/>
    </w:p>
    <w:p w14:paraId="413EE95F" w14:textId="6FD4BBD9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otseturundamisele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eksperdi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tasu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infokandjate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jaotusmaterjalide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valmistamine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kujundamine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tõlkimine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messidel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)</w:t>
      </w:r>
    </w:p>
    <w:p w14:paraId="4F37558A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p w14:paraId="258BB49C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Kohaliku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tegevusgrupi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nõuded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projektitoetuse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taotlejale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toetuse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saajale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(sh.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meetmes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lubatud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taotlejad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dokumendid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mida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peab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projektitoetuse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taotleja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esitama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taotluse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esitamisel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3C5AF9AC" w14:textId="77777777" w:rsidR="00FD42C1" w:rsidRPr="009B4CE5" w:rsidRDefault="008F5D24" w:rsidP="00FD42C1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Maaeluministri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määruses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projektitaotluse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esitamise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hetkel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kehtivad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nõuded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projektitaotlejale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ja-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taotlusele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>.</w:t>
      </w:r>
    </w:p>
    <w:p w14:paraId="7B6E0E8E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2. MTÜ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täiendavad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nõuded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DFC30D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B4CE5">
        <w:rPr>
          <w:rFonts w:ascii="Times New Roman" w:hAnsi="Times New Roman" w:cs="Times New Roman"/>
          <w:sz w:val="24"/>
          <w:szCs w:val="24"/>
        </w:rPr>
        <w:t>1.Taotlejateks</w:t>
      </w:r>
      <w:proofErr w:type="gram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võivad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olla MTÜ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haldusreformi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tegevuspiirkonnas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registreeritud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juriidiline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tegutsevad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:</w:t>
      </w:r>
    </w:p>
    <w:p w14:paraId="09B1B3B1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●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-ja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väikeettevõtted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(OÜ, AS,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täisühingud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usaldusühingud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tulundusühistud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, FIE-d)</w:t>
      </w:r>
    </w:p>
    <w:p w14:paraId="280267A5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● MTÜ-d, KOV-id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MTÜ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MTÜ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Haljala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valla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juriidiline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aadress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9905A9" w14:textId="77777777" w:rsidR="00036522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9B4CE5">
        <w:rPr>
          <w:rFonts w:ascii="Times New Roman" w:hAnsi="Times New Roman" w:cs="Times New Roman"/>
          <w:sz w:val="24"/>
          <w:szCs w:val="24"/>
        </w:rPr>
        <w:t>2.Taotleja</w:t>
      </w:r>
      <w:proofErr w:type="gram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ettevõtja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tohi olla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majanduslikes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raskustes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tohi olla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riiklikku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maksuvõlga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võlakordaja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väiksem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0,70,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maksevõime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näitaja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suurem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1,00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taotluse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esitamisele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vahetult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eelnenud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majandusaastal</w:t>
      </w:r>
      <w:proofErr w:type="spellEnd"/>
    </w:p>
    <w:p w14:paraId="117A9F66" w14:textId="260157FB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bookmarkStart w:id="0" w:name="_Hlk82073318"/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Projektitaotlusega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esitatavad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dokumendid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DF1BC4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Maaeluministri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LEADER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määruses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nõutavad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dokumendid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;</w:t>
      </w:r>
    </w:p>
    <w:p w14:paraId="29127069" w14:textId="7731F90A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●MTÜ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projektitoetuse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taotleja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avaldus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v.a.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MTÜ Partnerid </w:t>
      </w:r>
    </w:p>
    <w:p w14:paraId="532BDFA1" w14:textId="1FF7EFED" w:rsidR="000F6697" w:rsidRPr="009B4CE5" w:rsidRDefault="000F6697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● 2021.a.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bilans</w:t>
      </w:r>
      <w:r w:rsidR="002622E1" w:rsidRPr="009B4C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kasumi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tulemi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aruan</w:t>
      </w:r>
      <w:r w:rsidR="002622E1" w:rsidRPr="009B4CE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2622E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1" w:rsidRPr="009B4CE5">
        <w:rPr>
          <w:rFonts w:ascii="Times New Roman" w:hAnsi="Times New Roman" w:cs="Times New Roman"/>
          <w:sz w:val="24"/>
          <w:szCs w:val="24"/>
        </w:rPr>
        <w:t>väljatrükk</w:t>
      </w:r>
      <w:proofErr w:type="spellEnd"/>
      <w:r w:rsidR="002622E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22E1" w:rsidRPr="009B4CE5">
        <w:rPr>
          <w:rFonts w:ascii="Times New Roman" w:hAnsi="Times New Roman" w:cs="Times New Roman"/>
          <w:sz w:val="24"/>
          <w:szCs w:val="24"/>
        </w:rPr>
        <w:t>pearaamatust</w:t>
      </w:r>
      <w:proofErr w:type="spellEnd"/>
    </w:p>
    <w:p w14:paraId="1E050FEC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>●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Korraga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taotlejaks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ühes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samal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ajal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osaleda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partnerina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teistes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mitte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taotlejana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C8901" w14:textId="5FB5BCC2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esitatakse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tegevusgrupile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läbi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e-PRIA.</w:t>
      </w:r>
    </w:p>
    <w:bookmarkEnd w:id="0"/>
    <w:p w14:paraId="5A173551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0DE61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Toetuse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maksimaalne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suurus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määr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1205D9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määr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on:</w:t>
      </w:r>
    </w:p>
    <w:p w14:paraId="46703911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Ettevõtjad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toetatava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abikõlblikest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kuludest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v.</w:t>
      </w:r>
      <w:proofErr w:type="gramStart"/>
      <w:r w:rsidRPr="009B4CE5">
        <w:rPr>
          <w:rFonts w:ascii="Times New Roman" w:hAnsi="Times New Roman" w:cs="Times New Roman"/>
          <w:sz w:val="24"/>
          <w:szCs w:val="24"/>
        </w:rPr>
        <w:t>a.teadmussiirde</w:t>
      </w:r>
      <w:proofErr w:type="spellEnd"/>
      <w:proofErr w:type="gram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koolitused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90%</w:t>
      </w:r>
    </w:p>
    <w:p w14:paraId="68B331D9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MTÜ ja KOV –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toetatava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abikõlblikest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kuludest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AD87E" w14:textId="77777777" w:rsidR="002622E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Maksimaalne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toetussumma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ühe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taotleja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kohta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kuni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r w:rsidR="00FD42C1" w:rsidRPr="009B4CE5">
        <w:rPr>
          <w:rFonts w:ascii="Times New Roman" w:hAnsi="Times New Roman" w:cs="Times New Roman"/>
          <w:sz w:val="24"/>
          <w:szCs w:val="24"/>
        </w:rPr>
        <w:t>10</w:t>
      </w:r>
      <w:r w:rsidRPr="009B4CE5">
        <w:rPr>
          <w:rFonts w:ascii="Times New Roman" w:hAnsi="Times New Roman" w:cs="Times New Roman"/>
          <w:sz w:val="24"/>
          <w:szCs w:val="24"/>
        </w:rPr>
        <w:t xml:space="preserve"> 000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eurot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.</w:t>
      </w:r>
    </w:p>
    <w:p w14:paraId="36A0022F" w14:textId="1929CFF0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Projektitoetuse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minimaalne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määr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15%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toetatava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tegevuse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abikõlbuliku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maksumusest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.</w:t>
      </w:r>
    </w:p>
    <w:p w14:paraId="3146F586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0A1D6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Sihtvaldkond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kuhu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meede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panustab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8CD63A2" w14:textId="0B77040F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>1A, 1B, 1C, 2A, 3A, 6A, 6B</w:t>
      </w:r>
    </w:p>
    <w:p w14:paraId="6FE36BDE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p w14:paraId="2A743657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Euroopa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Parlamendi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nõukogu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määruse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(EL) nr 1305/2013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artiklis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5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nimetatud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prioriteedid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määruse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artiklid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mille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eesmärkide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saavutamisele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rakendamine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enim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kaasa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aitab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57A2BD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vastab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Euroopa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Parlamendi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nõukogu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määruse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(EL) nr 1305/2013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artiklis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prioriteetidele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:</w:t>
      </w:r>
    </w:p>
    <w:p w14:paraId="38FC4E9E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lastRenderedPageBreak/>
        <w:t xml:space="preserve"> nr 1: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Teadmussiirde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innovatsiooni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tugevdamine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metsanduses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maapiirkondades</w:t>
      </w:r>
      <w:proofErr w:type="spellEnd"/>
    </w:p>
    <w:p w14:paraId="19DD75C8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nr 2: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elujõulisuse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kõigi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põllumajandusvormide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kõigis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piirkondades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uuenduslike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põllumajandustehnoloogiate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metsade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säästva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majandamise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edendamine</w:t>
      </w:r>
      <w:proofErr w:type="spellEnd"/>
    </w:p>
    <w:p w14:paraId="6B0E23FC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nr 3: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Toiduahela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korraldamise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sealhulgas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põllumajandustoodete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töötlemise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turustamise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loomade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heaolu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riskijuhtimise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edendamine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DDE01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nr 6: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Sotsiaalse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kaasatuse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vaesuse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vähendamise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majanduskasvu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edendamine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maapiirkondades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37D8EC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Artikkel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14 –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Teadmussiire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teavitus</w:t>
      </w:r>
      <w:proofErr w:type="spellEnd"/>
    </w:p>
    <w:p w14:paraId="00078932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Artikkel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19 -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Põllumajandusettevõtete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ettevõtluse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2DEED7" w14:textId="1F023F64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Artikkel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35 </w:t>
      </w:r>
      <w:r w:rsidR="00FD42C1" w:rsidRPr="009B4CE5">
        <w:rPr>
          <w:rFonts w:ascii="Times New Roman" w:hAnsi="Times New Roman" w:cs="Times New Roman"/>
          <w:sz w:val="24"/>
          <w:szCs w:val="24"/>
        </w:rPr>
        <w:t>–</w:t>
      </w: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Koostöö</w:t>
      </w:r>
      <w:proofErr w:type="spellEnd"/>
    </w:p>
    <w:p w14:paraId="34468FCF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p w14:paraId="31070121" w14:textId="5D3F7400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meede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kattub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Eesti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maaelu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arengukava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2014-202</w:t>
      </w:r>
      <w:r w:rsidR="006B153B" w:rsidRPr="009B4C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meetmega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:</w:t>
      </w:r>
    </w:p>
    <w:p w14:paraId="74C31CFC" w14:textId="1207BFAF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Ei</w:t>
      </w:r>
      <w:proofErr w:type="spellEnd"/>
    </w:p>
    <w:p w14:paraId="4E515AFD" w14:textId="77777777" w:rsidR="00FD42C1" w:rsidRPr="009B4CE5" w:rsidRDefault="00FD42C1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p w14:paraId="7C3BF31E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Strateegia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indikaatorid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sihttasemed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A1641E" w14:textId="1AE5AB3D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Mõjuindikaatorid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:</w:t>
      </w:r>
    </w:p>
    <w:p w14:paraId="07650012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4CE5">
        <w:rPr>
          <w:rFonts w:ascii="Times New Roman" w:hAnsi="Times New Roman" w:cs="Times New Roman"/>
          <w:sz w:val="24"/>
          <w:szCs w:val="24"/>
          <w:u w:val="single"/>
        </w:rPr>
        <w:t>Uute</w:t>
      </w:r>
      <w:proofErr w:type="spellEnd"/>
      <w:r w:rsidRPr="009B4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  <w:u w:val="single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  <w:u w:val="single"/>
        </w:rPr>
        <w:t>arv</w:t>
      </w:r>
      <w:proofErr w:type="spellEnd"/>
      <w:r w:rsidRPr="009B4C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603C070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kasv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võrreldes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baasaastaga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(2007-2014 – 75%) </w:t>
      </w:r>
    </w:p>
    <w:p w14:paraId="12926C8E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Statistikaamet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672BE" w14:textId="0BAF1DCC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elluviimise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tulemusena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loodud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arv</w:t>
      </w:r>
      <w:proofErr w:type="spellEnd"/>
    </w:p>
    <w:p w14:paraId="1898F29F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10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toodet</w:t>
      </w:r>
      <w:proofErr w:type="spellEnd"/>
      <w:r w:rsidR="00FD42C1" w:rsidRPr="009B4CE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D42C1" w:rsidRPr="009B4CE5">
        <w:rPr>
          <w:rFonts w:ascii="Times New Roman" w:hAnsi="Times New Roman" w:cs="Times New Roman"/>
          <w:sz w:val="24"/>
          <w:szCs w:val="24"/>
        </w:rPr>
        <w:t>teenust</w:t>
      </w:r>
      <w:proofErr w:type="spellEnd"/>
    </w:p>
    <w:p w14:paraId="36C93328" w14:textId="77777777" w:rsidR="00FD42C1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aruandlus</w:t>
      </w:r>
      <w:proofErr w:type="spellEnd"/>
    </w:p>
    <w:p w14:paraId="177FF64D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Paranenud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konkurentsivõimega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2A8F14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r w:rsidR="0090697C" w:rsidRPr="009B4CE5">
        <w:rPr>
          <w:rFonts w:ascii="Times New Roman" w:hAnsi="Times New Roman" w:cs="Times New Roman"/>
          <w:sz w:val="24"/>
          <w:szCs w:val="24"/>
        </w:rPr>
        <w:t>5</w:t>
      </w:r>
      <w:r w:rsidRPr="009B4CE5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2036B" w14:textId="6877FCF5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aruandlus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02FF3" w14:textId="77777777" w:rsidR="0090697C" w:rsidRPr="009B4CE5" w:rsidRDefault="0090697C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p w14:paraId="64322496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Väljund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-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tulemusindikaatorid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D4A23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Toetatud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</w:t>
      </w:r>
      <w:proofErr w:type="spellEnd"/>
    </w:p>
    <w:p w14:paraId="558AF637" w14:textId="0F8613F0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r w:rsidR="0090697C" w:rsidRPr="009B4CE5">
        <w:rPr>
          <w:rFonts w:ascii="Times New Roman" w:hAnsi="Times New Roman" w:cs="Times New Roman"/>
          <w:sz w:val="24"/>
          <w:szCs w:val="24"/>
        </w:rPr>
        <w:t>8</w:t>
      </w: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EED4B7A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</w:p>
    <w:p w14:paraId="5EF634CB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suurendamisele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suunatud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2A083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Eesmärk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vähemalt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r w:rsidR="0090697C" w:rsidRPr="009B4CE5">
        <w:rPr>
          <w:rFonts w:ascii="Times New Roman" w:hAnsi="Times New Roman" w:cs="Times New Roman"/>
          <w:sz w:val="24"/>
          <w:szCs w:val="24"/>
        </w:rPr>
        <w:t>5</w:t>
      </w: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97C" w:rsidRPr="009B4CE5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AC49B" w14:textId="6EF6BAB1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Allikas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Projektitaotlused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rahastatud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mõju-uuring</w:t>
      </w:r>
      <w:proofErr w:type="spellEnd"/>
    </w:p>
    <w:p w14:paraId="0A6500AE" w14:textId="77777777" w:rsidR="0090697C" w:rsidRPr="009B4CE5" w:rsidRDefault="0090697C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527C8" w14:textId="77777777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Projektitoetuse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taotluste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b/>
          <w:bCs/>
          <w:sz w:val="24"/>
          <w:szCs w:val="24"/>
        </w:rPr>
        <w:t>hindamiskriteeriumid</w:t>
      </w:r>
      <w:proofErr w:type="spellEnd"/>
      <w:r w:rsidRPr="009B4C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165DCC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Hindamiskriteeriumid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:</w:t>
      </w:r>
    </w:p>
    <w:p w14:paraId="79D9FFF3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mõju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ettevõtlikkusele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konkurentsivõimele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hindepunktide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skaala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1-5,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30% </w:t>
      </w:r>
    </w:p>
    <w:p w14:paraId="2D8638AD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tulemuste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jätkusuutlikkus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hindepunktide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skaala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1-5,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20%</w:t>
      </w:r>
    </w:p>
    <w:p w14:paraId="52FCE9EB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3)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lisandväärtus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uuenduslikkus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hindepunktide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skaala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1-5,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20% </w:t>
      </w:r>
    </w:p>
    <w:p w14:paraId="545E7629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osalejate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arv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hindepunktide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skaala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1-5,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15%</w:t>
      </w:r>
    </w:p>
    <w:p w14:paraId="4A02F356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Kulude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otstarbekus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hindepunktide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skaala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1-5,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10% </w:t>
      </w:r>
    </w:p>
    <w:p w14:paraId="5D463EC1" w14:textId="77777777" w:rsidR="0090697C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kuuluvus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meetme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eelistuste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hulka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hindepunktide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skaala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1-5,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osakaal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5%</w:t>
      </w:r>
    </w:p>
    <w:p w14:paraId="4653E358" w14:textId="6DB85F4D" w:rsidR="008F5D24" w:rsidRPr="009B4CE5" w:rsidRDefault="008F5D24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Eelistatud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projektid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fookuseks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kohalikul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ressursil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põhinevate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uudsete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toodete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teenuste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väljaarendamine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seejuures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kaitstes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hoides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olemasolevaid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CE5">
        <w:rPr>
          <w:rFonts w:ascii="Times New Roman" w:hAnsi="Times New Roman" w:cs="Times New Roman"/>
          <w:sz w:val="24"/>
          <w:szCs w:val="24"/>
        </w:rPr>
        <w:t>ressursse</w:t>
      </w:r>
      <w:proofErr w:type="spellEnd"/>
      <w:r w:rsidRPr="009B4CE5">
        <w:rPr>
          <w:rFonts w:ascii="Times New Roman" w:hAnsi="Times New Roman" w:cs="Times New Roman"/>
          <w:sz w:val="24"/>
          <w:szCs w:val="24"/>
        </w:rPr>
        <w:t>.</w:t>
      </w:r>
    </w:p>
    <w:p w14:paraId="75D42DE1" w14:textId="77777777" w:rsidR="00103E6A" w:rsidRPr="009B4CE5" w:rsidRDefault="00103E6A" w:rsidP="00FD42C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p w14:paraId="783BA015" w14:textId="77777777" w:rsidR="002622E1" w:rsidRPr="009B4CE5" w:rsidRDefault="002622E1">
      <w:pPr>
        <w:pStyle w:val="Vahedeta"/>
        <w:jc w:val="lowKashida"/>
        <w:rPr>
          <w:rFonts w:ascii="Times New Roman" w:hAnsi="Times New Roman" w:cs="Times New Roman"/>
          <w:sz w:val="24"/>
          <w:szCs w:val="24"/>
        </w:rPr>
      </w:pPr>
    </w:p>
    <w:sectPr w:rsidR="002622E1" w:rsidRPr="009B4C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24"/>
    <w:rsid w:val="00001616"/>
    <w:rsid w:val="0001102C"/>
    <w:rsid w:val="00036522"/>
    <w:rsid w:val="000F6697"/>
    <w:rsid w:val="00103E6A"/>
    <w:rsid w:val="002622E1"/>
    <w:rsid w:val="004D0634"/>
    <w:rsid w:val="006B153B"/>
    <w:rsid w:val="008F5D24"/>
    <w:rsid w:val="0090697C"/>
    <w:rsid w:val="009B4CE5"/>
    <w:rsid w:val="00EB01D4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B33"/>
  <w15:chartTrackingRefBased/>
  <w15:docId w15:val="{B1E7AD58-6D5F-47D2-B494-2C66F43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D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748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22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7787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223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04526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8884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4106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746502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388433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6564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MTÜ Partnerid</dc:creator>
  <cp:keywords/>
  <dc:description/>
  <cp:lastModifiedBy>Kristel Pikk</cp:lastModifiedBy>
  <cp:revision>3</cp:revision>
  <dcterms:created xsi:type="dcterms:W3CDTF">2021-10-06T08:47:00Z</dcterms:created>
  <dcterms:modified xsi:type="dcterms:W3CDTF">2021-10-06T08:48:00Z</dcterms:modified>
</cp:coreProperties>
</file>