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C358" w14:textId="68DC40E3" w:rsidR="007751BF" w:rsidRPr="00D925F1" w:rsidRDefault="007751BF" w:rsidP="002551D1">
      <w:pPr>
        <w:rPr>
          <w:rFonts w:ascii="Times New Roman" w:hAnsi="Times New Roman" w:cs="Times New Roman"/>
          <w:sz w:val="24"/>
          <w:szCs w:val="24"/>
        </w:rPr>
      </w:pPr>
    </w:p>
    <w:p w14:paraId="160C93B0" w14:textId="56D38E65" w:rsidR="00A22463" w:rsidRPr="00D925F1" w:rsidRDefault="00853433" w:rsidP="00A2246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Meede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Elukeskkonna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investeeringud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BFCEE" w14:textId="38E4CBC7" w:rsidR="00A22463" w:rsidRPr="00D925F1" w:rsidRDefault="00A22463" w:rsidP="00A2246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Meetmeleht</w:t>
      </w:r>
      <w:proofErr w:type="spellEnd"/>
    </w:p>
    <w:p w14:paraId="10530173" w14:textId="7B8A9250" w:rsidR="00853433" w:rsidRPr="00D925F1" w:rsidRDefault="00853433" w:rsidP="00A2246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rakendamise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vajaduse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lühikirjeldus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103701" w14:textId="7B914D64" w:rsidR="002551D1" w:rsidRPr="00D925F1" w:rsidRDefault="002551D1" w:rsidP="00F70C5E">
      <w:pPr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Partnerite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rahvaarv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väheneb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vananeb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surve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tööealisele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elanikkonnale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kasvab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Samas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potentsiaal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kasutamata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kohalik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eripära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ressurss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ebapiisavalt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kasutusele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võetud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väärtustatud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rikas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loodusobjektide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ajaloo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kultuuripärandite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poolest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neid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korrastada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seeläbi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suurendada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atraktiivsust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omapära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Maapiirkondades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kohati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probleeme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kohaliku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taristu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kvaliteedi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kättesaadavusega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tervisele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erinevatele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vanusegruppidele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Maaelu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koondumine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tõmbekeskustesse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toonud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vajaduse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muuta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senist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pakkumise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struktuuri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eelkõige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ääremaadel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arvuga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külades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rakendamine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ühtlase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vanusstruktuurile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vastava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elukvaliteedi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parenemisele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pakkudes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kõigile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vanusegruppidele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erinevaid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võimalusi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tarbimiseks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kodule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võimalikult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lähedal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soodustab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ühistegevusi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ellu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sisserännet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suurendavaid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5F1">
        <w:rPr>
          <w:rFonts w:ascii="Times New Roman" w:hAnsi="Times New Roman" w:cs="Times New Roman"/>
          <w:sz w:val="24"/>
          <w:szCs w:val="24"/>
        </w:rPr>
        <w:t>tegevusi.Valdkonna</w:t>
      </w:r>
      <w:proofErr w:type="spellEnd"/>
      <w:proofErr w:type="gram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avaldub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sotsiaalse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majandusliku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mahajäämuse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rahvaarvu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vähenemise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negatiivsete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arengute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pidurdumises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Valdkonna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tulemusena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kasvab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rahulolu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paraneb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MTÜ-de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võimekus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koostöö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271AFB21" w14:textId="77777777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90BE1B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strateegiline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elamisväärne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elukeskkond</w:t>
      </w:r>
      <w:proofErr w:type="spellEnd"/>
    </w:p>
    <w:p w14:paraId="1AE6A8F3" w14:textId="1DEC43E0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Alameetme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atraktiivsuse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elukvaliteedi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kasv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kogukonnateenuste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kättesaadavuse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paranemine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uuenduslike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lahenduste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leidmise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4131B1E2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fookuseks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on:</w:t>
      </w:r>
    </w:p>
    <w:p w14:paraId="5777B512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üldise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elukvaliteedi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parandamine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atraktiivsuse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suurendamine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6053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kultuuri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5F1">
        <w:rPr>
          <w:rFonts w:ascii="Times New Roman" w:hAnsi="Times New Roman" w:cs="Times New Roman"/>
          <w:sz w:val="24"/>
          <w:szCs w:val="24"/>
        </w:rPr>
        <w:t>pärandkultuuri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väärtustamine</w:t>
      </w:r>
      <w:proofErr w:type="spellEnd"/>
      <w:proofErr w:type="gram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edasiandmine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tugevdamine</w:t>
      </w:r>
      <w:proofErr w:type="spellEnd"/>
    </w:p>
    <w:p w14:paraId="39097308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925F1">
        <w:rPr>
          <w:rFonts w:ascii="Times New Roman" w:hAnsi="Times New Roman" w:cs="Times New Roman"/>
          <w:sz w:val="24"/>
          <w:szCs w:val="24"/>
          <w:lang w:val="fr-FR"/>
        </w:rPr>
        <w:t>● küla sotsiaalse infrastruktuuri parandamineEelistatud on:</w:t>
      </w:r>
    </w:p>
    <w:p w14:paraId="112DBCCA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noortele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26-aastased)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olulisemaks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tuua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tagasi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koju</w:t>
      </w:r>
      <w:proofErr w:type="spellEnd"/>
    </w:p>
    <w:p w14:paraId="4B1219D6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terviseedenduslikud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aitamaks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tervise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turvalisuse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parandamisele</w:t>
      </w:r>
      <w:proofErr w:type="spellEnd"/>
    </w:p>
    <w:p w14:paraId="5120EBB1" w14:textId="1B06BA09" w:rsidR="002551D1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kohaliku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ressursi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hoidmisele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väärtustamisele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</w:p>
    <w:p w14:paraId="6C1BA6E9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76FEC2CF" w14:textId="77777777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Toetatavad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tegevused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3349FF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Käesoleva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raames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antakse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investeeringutoetust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elukeskkonda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arendavatele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mis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seotud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külaelanike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ühise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külakultuuri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väärtuse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säilitamisega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5FE4BE9D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Avalikuks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kasutamiseks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mõeldud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erinevatele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sihtgruppidele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hoonete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abihoonete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sisustuse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vajaliku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põhivara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ostmise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paigaldamise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4A7EB14E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turvalisuse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parendamiseks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tehtavad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naabrivalve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merepääste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rannapääste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põhivara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seadmete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hoonete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2DCA9D92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laagriplatside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puhkealade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parklate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avalike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parkide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väärtuslike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maastike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liikumis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matkaradade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spordi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mänguväljakute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teemaparkide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tuletõrjeveevõtu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kohtade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rajamine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korrastamine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vajaliku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põhivara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väikevahendite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ostmine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4A5DEC4F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925F1">
        <w:rPr>
          <w:rFonts w:ascii="Times New Roman" w:hAnsi="Times New Roman" w:cs="Times New Roman"/>
          <w:sz w:val="24"/>
          <w:szCs w:val="24"/>
        </w:rPr>
        <w:t>Inventari,mööbli</w:t>
      </w:r>
      <w:proofErr w:type="gram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infotehnoloogilise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lahenduse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tarkvara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ostmise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paigaldamise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eesmärgiga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laiendada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hoone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kasutamise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funktsioone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6B760456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Punktide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1-3 ja 6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nimetatud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kavandatava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projekteerimistööde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sealhulgas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muinsuskaitseseaduse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kehtestatud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korras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muinsuskaitse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eritingimuste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koostamise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kavandatavale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ehitustööle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ehitusseadustiku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kehtestatud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korras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omanikujärelevalve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muinsuskaitseseaduse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kehtestatud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korras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muinsuskaitselise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järelevalve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2684736A" w14:textId="29915A71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Taristuinvesteeringud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veevarustuse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kanalisatsiooni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reoveepuhastussüsteemi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elektrisüsteemi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elektripaigaldise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põlvkonna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side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juurdepääsuvõrgu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juurdepääsutee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ehitamise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juurde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kuuluvate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seadmete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ostmise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paigaldamise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vastava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võrguga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liitumise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üksiktarbija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hoonest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liitumispunktini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48477CFD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424C78DB" w14:textId="7992CAE0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Kohaliku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tegevusgrupi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nõuded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taotlejale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toetuse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saajale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(sh.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meetmes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lubatud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taotlejad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ning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dokumendid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mida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peab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taotleja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esitama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taotluse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esitamisel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F7DF2D5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BCD0A" w14:textId="4056B1B4" w:rsidR="00853433" w:rsidRPr="00D925F1" w:rsidRDefault="002551D1" w:rsidP="0065788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Maaeluministri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määruses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projektitaotluse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esitamise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kehtivad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nõuded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projektitaotlejale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ja-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taotlusele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>.</w:t>
      </w:r>
    </w:p>
    <w:p w14:paraId="50AC9D0A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2. MTÜ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täiendavad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nõuded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:</w:t>
      </w:r>
    </w:p>
    <w:p w14:paraId="3B826AD8" w14:textId="31EE373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="002551D1" w:rsidRPr="00D925F1">
        <w:rPr>
          <w:rFonts w:ascii="Times New Roman" w:hAnsi="Times New Roman" w:cs="Times New Roman"/>
          <w:sz w:val="24"/>
          <w:szCs w:val="24"/>
        </w:rPr>
        <w:t>1.Taotlejateks</w:t>
      </w:r>
      <w:proofErr w:type="gram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olla MTÜ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Partnerite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tegevuspiirkonnas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6" w:rsidRPr="00D925F1">
        <w:rPr>
          <w:rFonts w:ascii="Times New Roman" w:hAnsi="Times New Roman" w:cs="Times New Roman"/>
          <w:sz w:val="24"/>
          <w:szCs w:val="24"/>
        </w:rPr>
        <w:t>haldusreformi</w:t>
      </w:r>
      <w:proofErr w:type="spellEnd"/>
      <w:r w:rsidR="00657886" w:rsidRPr="00D925F1">
        <w:rPr>
          <w:rFonts w:ascii="Times New Roman" w:hAnsi="Times New Roman" w:cs="Times New Roman"/>
          <w:sz w:val="24"/>
          <w:szCs w:val="24"/>
        </w:rPr>
        <w:t>)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registreeritud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juriidiline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tegutsevad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>:</w:t>
      </w:r>
    </w:p>
    <w:p w14:paraId="0E0B75F3" w14:textId="1AB46A8F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Mittetulundusühingud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F767B" w14:textId="3E728153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Kohalikud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omavalitsused</w:t>
      </w:r>
      <w:proofErr w:type="spellEnd"/>
    </w:p>
    <w:p w14:paraId="711D9D6A" w14:textId="0EDB2FE8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Sihtasutused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F6C7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Investeering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teostatakse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tegevusgrupi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piirkonnas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>;</w:t>
      </w: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0DDD4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majanduslikes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raskustes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maksuvõlg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kustutamishoiatus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>);</w:t>
      </w:r>
    </w:p>
    <w:p w14:paraId="1C13EA77" w14:textId="77777777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2.4. MTÜ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toeta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ehitustegevusega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seotud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poolikuid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jätkuprojekte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jõudma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taotluses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näidatud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sihipärase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kasutuseni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E4BB8" w14:textId="7F4DB25C" w:rsidR="00853433" w:rsidRPr="00D925F1" w:rsidRDefault="0085343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Projektitoetuse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saaja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kohustatud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täitma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esitama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tegevusgrupi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ettenähtud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vormil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seirearuande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võimaldama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järelseire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tegemist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aastat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peale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lõppemist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C7E2F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Projektitaotlusega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esitatavad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dokumendid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0EAE7D" w14:textId="77777777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b/>
          <w:bCs/>
          <w:sz w:val="24"/>
          <w:szCs w:val="24"/>
        </w:rPr>
        <w:t>●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Maaeluministri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määruses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toodud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nõutavad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dokumendid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7C5D5B88" w14:textId="60E0FC73" w:rsidR="0085343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02456"/>
      <w:r w:rsidRPr="00D925F1">
        <w:rPr>
          <w:rFonts w:ascii="Times New Roman" w:hAnsi="Times New Roman" w:cs="Times New Roman"/>
          <w:sz w:val="24"/>
          <w:szCs w:val="24"/>
        </w:rPr>
        <w:t>●</w:t>
      </w:r>
      <w:bookmarkEnd w:id="0"/>
      <w:r w:rsidRPr="00D925F1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projektitoetuse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avaldus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3241AE48" w14:textId="680C172E" w:rsidR="00853433" w:rsidRPr="00D925F1" w:rsidRDefault="00A941D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02526"/>
      <w:r w:rsidRPr="00D925F1">
        <w:rPr>
          <w:rFonts w:ascii="Times New Roman" w:hAnsi="Times New Roman" w:cs="Times New Roman"/>
          <w:sz w:val="24"/>
          <w:szCs w:val="24"/>
        </w:rPr>
        <w:t>●</w:t>
      </w:r>
      <w:bookmarkEnd w:id="1"/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Pakkumiskutse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hinnapakkumused</w:t>
      </w:r>
      <w:proofErr w:type="spellEnd"/>
    </w:p>
    <w:p w14:paraId="689EB1A5" w14:textId="121B9085" w:rsidR="00A941D3" w:rsidRPr="00D925F1" w:rsidRDefault="00A941D3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● 2021.a. bilans</w:t>
      </w:r>
      <w:r w:rsidR="007751BF" w:rsidRPr="00D925F1">
        <w:rPr>
          <w:rFonts w:ascii="Times New Roman" w:hAnsi="Times New Roman" w:cs="Times New Roman"/>
          <w:sz w:val="24"/>
          <w:szCs w:val="24"/>
        </w:rPr>
        <w:t>i</w:t>
      </w:r>
      <w:r w:rsidRPr="00D925F1">
        <w:rPr>
          <w:rFonts w:ascii="Times New Roman" w:hAnsi="Times New Roman" w:cs="Times New Roman"/>
          <w:sz w:val="24"/>
          <w:szCs w:val="24"/>
        </w:rPr>
        <w:t xml:space="preserve"> ja tulemiaruan</w:t>
      </w:r>
      <w:r w:rsidR="007751BF" w:rsidRPr="00D925F1">
        <w:rPr>
          <w:rFonts w:ascii="Times New Roman" w:hAnsi="Times New Roman" w:cs="Times New Roman"/>
          <w:sz w:val="24"/>
          <w:szCs w:val="24"/>
        </w:rPr>
        <w:t>de väljatrükk pearaamatust</w:t>
      </w:r>
    </w:p>
    <w:p w14:paraId="298CF792" w14:textId="0EF1EDE4" w:rsidR="00A941D3" w:rsidRPr="00D925F1" w:rsidRDefault="00A941D3" w:rsidP="008702A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● </w:t>
      </w:r>
      <w:r w:rsidR="008702A7" w:rsidRPr="00D925F1">
        <w:rPr>
          <w:rFonts w:ascii="Times New Roman" w:hAnsi="Times New Roman" w:cs="Times New Roman"/>
          <w:sz w:val="24"/>
          <w:szCs w:val="24"/>
        </w:rPr>
        <w:t>Ehituste</w:t>
      </w:r>
      <w:r w:rsidR="00123BB5" w:rsidRPr="00D925F1">
        <w:rPr>
          <w:rFonts w:ascii="Times New Roman" w:hAnsi="Times New Roman" w:cs="Times New Roman"/>
          <w:sz w:val="24"/>
          <w:szCs w:val="24"/>
        </w:rPr>
        <w:t xml:space="preserve"> või paigaldatavate seadmete</w:t>
      </w:r>
      <w:r w:rsidR="008702A7"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123BB5" w:rsidRPr="00D925F1">
        <w:rPr>
          <w:rFonts w:ascii="Times New Roman" w:hAnsi="Times New Roman" w:cs="Times New Roman"/>
          <w:sz w:val="24"/>
          <w:szCs w:val="24"/>
        </w:rPr>
        <w:t xml:space="preserve">korral </w:t>
      </w:r>
      <w:r w:rsidR="008702A7" w:rsidRPr="00D925F1">
        <w:rPr>
          <w:rFonts w:ascii="Times New Roman" w:hAnsi="Times New Roman" w:cs="Times New Roman"/>
          <w:sz w:val="24"/>
          <w:szCs w:val="24"/>
        </w:rPr>
        <w:t xml:space="preserve">KOV-i poolt väljastatud </w:t>
      </w:r>
      <w:r w:rsidR="007751BF" w:rsidRPr="00D925F1">
        <w:rPr>
          <w:rFonts w:ascii="Times New Roman" w:hAnsi="Times New Roman" w:cs="Times New Roman"/>
          <w:sz w:val="24"/>
          <w:szCs w:val="24"/>
        </w:rPr>
        <w:t>tõend või e-kiri</w:t>
      </w:r>
      <w:r w:rsidR="008702A7" w:rsidRPr="00D925F1">
        <w:rPr>
          <w:rFonts w:ascii="Times New Roman" w:hAnsi="Times New Roman" w:cs="Times New Roman"/>
          <w:sz w:val="24"/>
          <w:szCs w:val="24"/>
        </w:rPr>
        <w:t xml:space="preserve"> ehitusloa või kirjaliku nõusoleku väljastamise</w:t>
      </w:r>
      <w:r w:rsidR="007751BF" w:rsidRPr="00D925F1">
        <w:rPr>
          <w:rFonts w:ascii="Times New Roman" w:hAnsi="Times New Roman" w:cs="Times New Roman"/>
          <w:sz w:val="24"/>
          <w:szCs w:val="24"/>
        </w:rPr>
        <w:t xml:space="preserve"> või </w:t>
      </w:r>
      <w:r w:rsidR="008702A7" w:rsidRPr="00D925F1">
        <w:rPr>
          <w:rFonts w:ascii="Times New Roman" w:hAnsi="Times New Roman" w:cs="Times New Roman"/>
          <w:sz w:val="24"/>
          <w:szCs w:val="24"/>
        </w:rPr>
        <w:t>mittevajalikkuse kohta, kui määruses ei ole nõuet taotluse esitamisel esitada ehituslubavõi kirjalik nõusolek.</w:t>
      </w:r>
    </w:p>
    <w:p w14:paraId="650D0FE5" w14:textId="77777777" w:rsidR="00A941D3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taotlusvoorus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0AC5511D" w14:textId="11A3B2F3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esitatakse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tegevusgrupile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e-PRIA</w:t>
      </w:r>
    </w:p>
    <w:p w14:paraId="5014C162" w14:textId="77777777" w:rsidR="00F20751" w:rsidRPr="00D925F1" w:rsidRDefault="00F2075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4EC57A0F" w14:textId="77777777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lastRenderedPageBreak/>
        <w:t>Toetuse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maksimaalne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suurus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määr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3CB7B4" w14:textId="77777777" w:rsidR="00F2075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Toetuse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määr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on:</w:t>
      </w:r>
    </w:p>
    <w:p w14:paraId="1C81DC3C" w14:textId="77777777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MTÜ, SA ja KOV –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abikõlbulikest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v.a.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tegemist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otseselt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ettevõtlusalase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projektiga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abikõlbulikest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11F63D34" w14:textId="01A8472E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●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Taristuinvesteeringud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investeeringu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abikõlbulikest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s.h.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liitumistasud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42824" w14:textId="379BCE48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põlvkonna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side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juurdepääsuvõrgu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rajamiseks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abikõlbulikest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kuludest</w:t>
      </w:r>
      <w:proofErr w:type="spellEnd"/>
    </w:p>
    <w:p w14:paraId="0CB9535A" w14:textId="77777777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Maastiku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-, vee-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mootorsõiduk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abikõlbulikest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1579EDE6" w14:textId="77777777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08E877F4" w14:textId="35897C7E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Maksimaalne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toetussumma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</w:t>
      </w:r>
      <w:r w:rsidR="00D00E79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79"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D00E79" w:rsidRPr="00D925F1">
        <w:rPr>
          <w:rFonts w:ascii="Times New Roman" w:hAnsi="Times New Roman" w:cs="Times New Roman"/>
          <w:sz w:val="24"/>
          <w:szCs w:val="24"/>
        </w:rPr>
        <w:t>50 000</w:t>
      </w: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eurot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Projektitoetuse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minimaalne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määr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15%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toetatava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abikõlbuliku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maksumusest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.</w:t>
      </w:r>
    </w:p>
    <w:p w14:paraId="7679BCE5" w14:textId="77777777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594E91B3" w14:textId="77777777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Sihtvaldkond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kuhu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meede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panustab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385380" w14:textId="77777777" w:rsidR="002551D1" w:rsidRPr="00D925F1" w:rsidRDefault="002551D1" w:rsidP="00F70C5E">
      <w:pPr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6A, 6B, 6C</w:t>
      </w:r>
    </w:p>
    <w:p w14:paraId="29E81651" w14:textId="77777777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Euroopa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Parlamendi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nõukogu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määruse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(EL) nr 1305/2013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artiklis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nimetatud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prioriteedid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määruse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artiklid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mille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eesmärkide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saavutamisele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rakendamine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enim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kaasa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aitab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ACD979" w14:textId="77777777" w:rsidR="002551D1" w:rsidRPr="00D925F1" w:rsidRDefault="002551D1" w:rsidP="00F70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vastab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Parlamendi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nõukogu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määruse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(EL) nr 1305/2013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artiklis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toodud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prioriteedile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nr 6 –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sotsiaalse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kaasamise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vaesuse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vähendamise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maapiirkondade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majandusliku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arengu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edendamineArtikkel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20 -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Põhiteenused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külauuendus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maapiirkonnas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45 -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Investeeringud</w:t>
      </w:r>
      <w:proofErr w:type="spellEnd"/>
    </w:p>
    <w:p w14:paraId="4D1FCBB3" w14:textId="1A8DFDEA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meede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kattub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Eesti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maaelu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arengukava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2014-202</w:t>
      </w:r>
      <w:r w:rsidR="003E21A8" w:rsidRPr="00D925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meetmega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D67C93" w14:textId="77777777" w:rsidR="002551D1" w:rsidRPr="00D925F1" w:rsidRDefault="002551D1" w:rsidP="00F70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Ei</w:t>
      </w:r>
      <w:proofErr w:type="spellEnd"/>
    </w:p>
    <w:p w14:paraId="5A75F87B" w14:textId="77777777" w:rsidR="002551D1" w:rsidRPr="00D925F1" w:rsidRDefault="002551D1" w:rsidP="00F70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indikaatorid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sihttasemed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9F09DB" w14:textId="77777777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Mõjuindikaatorid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:</w:t>
      </w:r>
    </w:p>
    <w:p w14:paraId="7FF93F18" w14:textId="186E1C5F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="00D00E79" w:rsidRPr="00D92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93714B" w14:textId="77777777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arvu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vähenemine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suurem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9%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võrreldes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baasaastaga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(2008-2014 – 5%,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baasstsenaarium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 9%)</w:t>
      </w:r>
    </w:p>
    <w:p w14:paraId="78D32939" w14:textId="237DBB9E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Statistikaamet</w:t>
      </w:r>
      <w:proofErr w:type="spellEnd"/>
    </w:p>
    <w:p w14:paraId="55CDF7A7" w14:textId="77777777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Kasusaajate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="00D00E79" w:rsidRPr="00D925F1">
        <w:rPr>
          <w:rFonts w:ascii="Times New Roman" w:hAnsi="Times New Roman" w:cs="Times New Roman"/>
          <w:sz w:val="24"/>
          <w:szCs w:val="24"/>
        </w:rPr>
        <w:t>:</w:t>
      </w:r>
    </w:p>
    <w:p w14:paraId="030EAC94" w14:textId="77777777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="00D00E79" w:rsidRPr="00D925F1">
        <w:rPr>
          <w:rFonts w:ascii="Times New Roman" w:hAnsi="Times New Roman" w:cs="Times New Roman"/>
          <w:sz w:val="24"/>
          <w:szCs w:val="24"/>
        </w:rPr>
        <w:t xml:space="preserve">10 000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kasusaajat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18F37" w14:textId="463C3894" w:rsidR="00D00E79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</w:p>
    <w:p w14:paraId="0F53617B" w14:textId="77777777" w:rsidR="00D00E79" w:rsidRPr="00D925F1" w:rsidRDefault="00D00E79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48D95098" w14:textId="77777777" w:rsidR="00852942" w:rsidRPr="00D925F1" w:rsidRDefault="00852942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Väljund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-</w:t>
      </w:r>
      <w:r w:rsidR="002551D1"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551D1" w:rsidRPr="00D925F1">
        <w:rPr>
          <w:rFonts w:ascii="Times New Roman" w:hAnsi="Times New Roman" w:cs="Times New Roman"/>
          <w:sz w:val="24"/>
          <w:szCs w:val="24"/>
        </w:rPr>
        <w:t>tulemusindikaatorid</w:t>
      </w:r>
      <w:proofErr w:type="spellEnd"/>
      <w:r w:rsidR="002551D1" w:rsidRPr="00D925F1">
        <w:rPr>
          <w:rFonts w:ascii="Times New Roman" w:hAnsi="Times New Roman" w:cs="Times New Roman"/>
          <w:sz w:val="24"/>
          <w:szCs w:val="24"/>
        </w:rPr>
        <w:t>:</w:t>
      </w:r>
    </w:p>
    <w:p w14:paraId="2037C04E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Toetatud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>.</w:t>
      </w:r>
    </w:p>
    <w:p w14:paraId="36212C05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taotlusvoorus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neist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3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noortele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</w:p>
    <w:p w14:paraId="46A75071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</w:p>
    <w:p w14:paraId="676A5A65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parendatud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objektide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</w:t>
      </w:r>
      <w:proofErr w:type="spellEnd"/>
    </w:p>
    <w:p w14:paraId="6DAF0130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parendatud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taotlusvoorus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esitatud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kohta</w:t>
      </w:r>
      <w:proofErr w:type="spellEnd"/>
    </w:p>
    <w:p w14:paraId="7D2EB1A3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rahastatud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mõju-uuring</w:t>
      </w:r>
      <w:proofErr w:type="spellEnd"/>
    </w:p>
    <w:p w14:paraId="7ACA61CB" w14:textId="6A083696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Kohalikul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ressursil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põhinevate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42" w:rsidRPr="00D925F1">
        <w:rPr>
          <w:rFonts w:ascii="Times New Roman" w:hAnsi="Times New Roman" w:cs="Times New Roman"/>
          <w:sz w:val="24"/>
          <w:szCs w:val="24"/>
        </w:rPr>
        <w:t>arendatud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>,</w:t>
      </w: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uudsete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</w:t>
      </w:r>
      <w:r w:rsidR="00852942" w:rsidRPr="00D925F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42"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2942" w:rsidRPr="00D925F1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arv</w:t>
      </w:r>
      <w:proofErr w:type="spellEnd"/>
      <w:proofErr w:type="gramEnd"/>
      <w:r w:rsidRPr="00D925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52942" w:rsidRPr="00D925F1">
        <w:rPr>
          <w:rFonts w:ascii="Times New Roman" w:hAnsi="Times New Roman" w:cs="Times New Roman"/>
          <w:sz w:val="24"/>
          <w:szCs w:val="24"/>
        </w:rPr>
        <w:t>arendatud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uudset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kogukonna</w:t>
      </w:r>
      <w:r w:rsidR="00852942" w:rsidRPr="00D925F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42"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="00852942"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42" w:rsidRPr="00D925F1">
        <w:rPr>
          <w:rFonts w:ascii="Times New Roman" w:hAnsi="Times New Roman" w:cs="Times New Roman"/>
          <w:sz w:val="24"/>
          <w:szCs w:val="24"/>
        </w:rPr>
        <w:t>teenust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perioodi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esitatud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kohta</w:t>
      </w:r>
      <w:proofErr w:type="spellEnd"/>
    </w:p>
    <w:p w14:paraId="5822FA92" w14:textId="5F1A2EDA" w:rsidR="00852942" w:rsidRPr="00D925F1" w:rsidRDefault="00852942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rahastatud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mõju-uuring</w:t>
      </w:r>
      <w:proofErr w:type="spellEnd"/>
    </w:p>
    <w:p w14:paraId="0A843D10" w14:textId="77777777" w:rsidR="00852942" w:rsidRPr="00D925F1" w:rsidRDefault="00852942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4116A427" w14:textId="77777777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taotluste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b/>
          <w:bCs/>
          <w:sz w:val="24"/>
          <w:szCs w:val="24"/>
        </w:rPr>
        <w:t>hindamiskriteeriumid</w:t>
      </w:r>
      <w:proofErr w:type="spellEnd"/>
      <w:r w:rsidRPr="00D92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D32F4A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Eelistatud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on:</w:t>
      </w:r>
    </w:p>
    <w:p w14:paraId="4F240542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noortele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26-aastased)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olulisemaks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tuua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tagasi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339C92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terviseedenduslikud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aitamaks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elanike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tervise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turvalisuse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parandamisele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;</w:t>
      </w:r>
    </w:p>
    <w:p w14:paraId="4FBD1905" w14:textId="2475A4EB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kohaliku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ressursi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hoidmisele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väärtustamisele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48584" w14:textId="77777777" w:rsidR="00852942" w:rsidRPr="00D925F1" w:rsidRDefault="00852942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24A42A86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üldine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tegevuspiirkonnale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elukvaliteedi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parandamisele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1-5p,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30%. </w:t>
      </w:r>
    </w:p>
    <w:p w14:paraId="24D9CC71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jätkusuutlikkus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1-5p,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25%.</w:t>
      </w:r>
    </w:p>
    <w:p w14:paraId="4D202997" w14:textId="77777777" w:rsidR="00852942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funktsionaalsus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teenus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toote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lisandväärtus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uuenduslikkus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1-5p,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20%.</w:t>
      </w:r>
    </w:p>
    <w:p w14:paraId="1CA44C4E" w14:textId="0E8FBB10" w:rsidR="002551D1" w:rsidRPr="00D925F1" w:rsidRDefault="002551D1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="00F70C5E" w:rsidRPr="00D925F1">
        <w:rPr>
          <w:rFonts w:ascii="Times New Roman" w:hAnsi="Times New Roman" w:cs="Times New Roman"/>
          <w:sz w:val="24"/>
          <w:szCs w:val="24"/>
        </w:rPr>
        <w:t xml:space="preserve"> </w:t>
      </w:r>
      <w:r w:rsidRPr="00D925F1">
        <w:rPr>
          <w:rFonts w:ascii="Times New Roman" w:hAnsi="Times New Roman" w:cs="Times New Roman"/>
          <w:sz w:val="24"/>
          <w:szCs w:val="24"/>
        </w:rPr>
        <w:t xml:space="preserve">4: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Kasusaajate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hulk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investeeringu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suuruse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1-5p,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Kulude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otstarbekus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, 1-5p,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10%.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Hindamiskriteerium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kuuluvus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eelistuste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, 1-5p, 5%.</w:t>
      </w:r>
    </w:p>
    <w:p w14:paraId="1EC30521" w14:textId="77777777" w:rsidR="00686AE7" w:rsidRPr="00D925F1" w:rsidRDefault="00686AE7" w:rsidP="00F70C5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sectPr w:rsidR="00686AE7" w:rsidRPr="00D925F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EF13" w14:textId="77777777" w:rsidR="009A421A" w:rsidRDefault="009A421A" w:rsidP="00853433">
      <w:pPr>
        <w:spacing w:after="0" w:line="240" w:lineRule="auto"/>
      </w:pPr>
      <w:r>
        <w:separator/>
      </w:r>
    </w:p>
  </w:endnote>
  <w:endnote w:type="continuationSeparator" w:id="0">
    <w:p w14:paraId="1B1B1F6F" w14:textId="77777777" w:rsidR="009A421A" w:rsidRDefault="009A421A" w:rsidP="008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CA1C" w14:textId="77777777" w:rsidR="009A421A" w:rsidRDefault="009A421A" w:rsidP="00853433">
      <w:pPr>
        <w:spacing w:after="0" w:line="240" w:lineRule="auto"/>
      </w:pPr>
      <w:r>
        <w:separator/>
      </w:r>
    </w:p>
  </w:footnote>
  <w:footnote w:type="continuationSeparator" w:id="0">
    <w:p w14:paraId="3C1595EC" w14:textId="77777777" w:rsidR="009A421A" w:rsidRDefault="009A421A" w:rsidP="008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4EBD" w14:textId="01F6DA23" w:rsidR="00853433" w:rsidRDefault="00853433">
    <w:pPr>
      <w:pStyle w:val="Pis"/>
    </w:pPr>
  </w:p>
  <w:p w14:paraId="761B240A" w14:textId="0A427DBD" w:rsidR="00853433" w:rsidRDefault="00853433">
    <w:pPr>
      <w:pStyle w:val="Pis"/>
    </w:pPr>
  </w:p>
  <w:p w14:paraId="33DE67A5" w14:textId="77777777" w:rsidR="00853433" w:rsidRDefault="0085343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1"/>
    <w:rsid w:val="000345D5"/>
    <w:rsid w:val="00123BB5"/>
    <w:rsid w:val="001C19A9"/>
    <w:rsid w:val="002551D1"/>
    <w:rsid w:val="00384F78"/>
    <w:rsid w:val="003E21A8"/>
    <w:rsid w:val="003E3474"/>
    <w:rsid w:val="00637A3E"/>
    <w:rsid w:val="00657886"/>
    <w:rsid w:val="00686AE7"/>
    <w:rsid w:val="007751BF"/>
    <w:rsid w:val="00852942"/>
    <w:rsid w:val="00853433"/>
    <w:rsid w:val="008702A7"/>
    <w:rsid w:val="008A2402"/>
    <w:rsid w:val="009A421A"/>
    <w:rsid w:val="00A22463"/>
    <w:rsid w:val="00A941D3"/>
    <w:rsid w:val="00BD0FC6"/>
    <w:rsid w:val="00C07A1A"/>
    <w:rsid w:val="00D00E79"/>
    <w:rsid w:val="00D925F1"/>
    <w:rsid w:val="00DD650F"/>
    <w:rsid w:val="00F20751"/>
    <w:rsid w:val="00F70C5E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BBD9"/>
  <w15:chartTrackingRefBased/>
  <w15:docId w15:val="{012E9782-4D37-4AE3-8425-48F38AF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53433"/>
  </w:style>
  <w:style w:type="paragraph" w:styleId="Jalus">
    <w:name w:val="footer"/>
    <w:basedOn w:val="Normaallaad"/>
    <w:link w:val="JalusMrk"/>
    <w:uiPriority w:val="99"/>
    <w:unhideWhenUsed/>
    <w:rsid w:val="008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53433"/>
  </w:style>
  <w:style w:type="paragraph" w:styleId="Vahedeta">
    <w:name w:val="No Spacing"/>
    <w:uiPriority w:val="1"/>
    <w:qFormat/>
    <w:rsid w:val="00853433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D00E7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0E7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0E7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00E7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00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74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76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90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170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5945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8771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881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2305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22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501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3356-A92A-43FF-8A6E-9757DF8B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3</cp:revision>
  <dcterms:created xsi:type="dcterms:W3CDTF">2021-10-06T08:43:00Z</dcterms:created>
  <dcterms:modified xsi:type="dcterms:W3CDTF">2021-10-06T08:44:00Z</dcterms:modified>
</cp:coreProperties>
</file>