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F9F2" w14:textId="44F12D4D" w:rsidR="005D1987" w:rsidRPr="005011BB" w:rsidRDefault="005011BB" w:rsidP="005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Kinnitatud juhatuse koosolekul </w:t>
      </w:r>
      <w:r w:rsidR="00703399"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703399"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.24</w:t>
      </w:r>
    </w:p>
    <w:p w14:paraId="0038686E" w14:textId="77777777" w:rsidR="005011BB" w:rsidRPr="005011BB" w:rsidRDefault="005011BB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DA31174" w14:textId="77777777" w:rsidR="005011BB" w:rsidRDefault="005011BB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</w:pPr>
    </w:p>
    <w:p w14:paraId="4330E1B5" w14:textId="65B8CD26" w:rsidR="005D1987" w:rsidRPr="005011BB" w:rsidRDefault="005D1987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  <w:t xml:space="preserve">Strateegiline siht </w:t>
      </w:r>
      <w:r w:rsidR="00E865D9" w:rsidRPr="005011BB"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  <w:t>3</w:t>
      </w:r>
      <w:r w:rsidRPr="005011BB"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  <w:t xml:space="preserve">: </w:t>
      </w:r>
      <w:r w:rsidR="00E865D9" w:rsidRPr="005011BB"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  <w:t>NOORED TULEVIKULIIDRID</w:t>
      </w:r>
    </w:p>
    <w:p w14:paraId="4528E960" w14:textId="596640A4" w:rsidR="005D1987" w:rsidRPr="005011BB" w:rsidRDefault="005D1987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</w:pPr>
    </w:p>
    <w:p w14:paraId="3C3F916C" w14:textId="1C486ABA" w:rsidR="005D1987" w:rsidRPr="005011BB" w:rsidRDefault="005D1987" w:rsidP="005D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sz w:val="24"/>
          <w:szCs w:val="24"/>
        </w:rPr>
        <w:t>1.Strateegia meetme nimetus</w:t>
      </w:r>
    </w:p>
    <w:p w14:paraId="44A64663" w14:textId="44589610" w:rsidR="005D1987" w:rsidRPr="005011BB" w:rsidRDefault="005D1987" w:rsidP="00E8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 xml:space="preserve">MEEDE </w:t>
      </w:r>
      <w:r w:rsidR="00E865D9" w:rsidRPr="005011BB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>3</w:t>
      </w:r>
      <w:r w:rsidR="00247CEA" w:rsidRPr="005011BB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>.</w:t>
      </w:r>
      <w:r w:rsidR="0065193D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>2</w:t>
      </w:r>
      <w:r w:rsidR="00247CEA" w:rsidRPr="005011BB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 xml:space="preserve"> </w:t>
      </w:r>
      <w:r w:rsidR="00A92485" w:rsidRPr="005011BB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>NOORTE ETTEVÕTLIKKUSE ARENDAMINE</w:t>
      </w:r>
    </w:p>
    <w:p w14:paraId="4F5FC51D" w14:textId="77777777" w:rsidR="00E865D9" w:rsidRPr="005011BB" w:rsidRDefault="00E865D9" w:rsidP="00E8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DE58F0" w14:textId="20E967E6" w:rsidR="00792912" w:rsidRPr="005011BB" w:rsidRDefault="005D1987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="00792912"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Strateegia meetme rakendamise vajaduse lühikirjeldus:</w:t>
      </w:r>
    </w:p>
    <w:p w14:paraId="1971663F" w14:textId="05DB82CE" w:rsidR="00E865D9" w:rsidRPr="005011BB" w:rsidRDefault="00E865D9" w:rsidP="00A92485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 </w:t>
      </w:r>
      <w:r w:rsidR="0011735E" w:rsidRPr="005011BB">
        <w:rPr>
          <w:lang w:val="et-EE"/>
        </w:rPr>
        <w:t xml:space="preserve">Probleemiks on piirkonnas noorte väljavool ja passiivsus ning noortele suunatud tegevuste vähesus, sh noorte ühis- ja tänuürituste vähesus, tunnustuse puudus, suviste töövõimaluste vähesus, madal noorte ettevõtlikkus. </w:t>
      </w:r>
      <w:r w:rsidR="005011BB" w:rsidRPr="005011BB">
        <w:rPr>
          <w:lang w:val="et-EE"/>
        </w:rPr>
        <w:t xml:space="preserve">  Füüsilise ja vaimse tervisega seotud probleemid on järjest rohkem mõjutamas noorte elukvaliteeti ning tulevikuperspektiive </w:t>
      </w:r>
      <w:r w:rsidR="005011BB">
        <w:rPr>
          <w:lang w:val="et-EE"/>
        </w:rPr>
        <w:t>.</w:t>
      </w:r>
      <w:r w:rsidRPr="005011BB">
        <w:rPr>
          <w:lang w:val="et-EE"/>
        </w:rPr>
        <w:t xml:space="preserve">Meede hõlmab erinevaid noorte poolt algatatud ja noortele suunatud  tegevusi, et kaasata rohkem noori kogu piirkonna arendamisse, suurendada noorte ettevõtlikkust ja </w:t>
      </w:r>
      <w:r w:rsidR="005011BB">
        <w:rPr>
          <w:lang w:val="et-EE"/>
        </w:rPr>
        <w:t>aktiivsust</w:t>
      </w:r>
      <w:r w:rsidRPr="005011BB">
        <w:rPr>
          <w:lang w:val="et-EE"/>
        </w:rPr>
        <w:t xml:space="preserve"> ning kujundada nendest piirkonna tulevikuliidrid</w:t>
      </w:r>
      <w:r w:rsidR="005011BB">
        <w:rPr>
          <w:lang w:val="et-EE"/>
        </w:rPr>
        <w:t xml:space="preserve">. </w:t>
      </w:r>
      <w:r w:rsidRPr="005011BB">
        <w:rPr>
          <w:lang w:val="et-EE"/>
        </w:rPr>
        <w:t>Oluline on kõigile noortele luua võimalused mitmekülgseks arenguks, eduelamuseks, kogemustepagasi rikastamiseks, iseseisvumiseks ja ettevõtlikkuseks. Strateegilise sihi arendamise mõju avaldub kasusaajate arvus, aktiivsuse kasvus, Partnerite noorte sidusrühmas/ühendatud noorte volikogus osalevate noorte arvus.</w:t>
      </w:r>
      <w:r w:rsidR="00703399" w:rsidRPr="00703399">
        <w:rPr>
          <w:lang w:val="et-EE"/>
        </w:rPr>
        <w:t xml:space="preserve"> MTÜ Partnerid on tegusate, nutikate ja ettevõtlike noorte liidrite tegutsemiskoht.</w:t>
      </w:r>
    </w:p>
    <w:p w14:paraId="07FA49C8" w14:textId="77777777" w:rsidR="00E865D9" w:rsidRPr="005011BB" w:rsidRDefault="00E865D9" w:rsidP="00E865D9">
      <w:pPr>
        <w:shd w:val="clear" w:color="auto" w:fill="FFFFFF"/>
        <w:spacing w:after="0" w:line="240" w:lineRule="auto"/>
        <w:jc w:val="both"/>
      </w:pPr>
    </w:p>
    <w:p w14:paraId="6523EEA6" w14:textId="2E6C3357" w:rsidR="00792912" w:rsidRPr="005011BB" w:rsidRDefault="003E1452" w:rsidP="00E8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3.M</w:t>
      </w:r>
      <w:r w:rsidR="00792912"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eetme eesmärk</w:t>
      </w:r>
      <w:r w:rsidR="00792912" w:rsidRPr="005011B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4441FFB6" w14:textId="21BB22B1" w:rsidR="00E865D9" w:rsidRPr="005011BB" w:rsidRDefault="00E865D9" w:rsidP="00410D16">
      <w:pPr>
        <w:pStyle w:val="Vahedeta"/>
        <w:rPr>
          <w:lang w:val="et-EE"/>
        </w:rPr>
      </w:pPr>
      <w:r w:rsidRPr="005011BB">
        <w:rPr>
          <w:lang w:val="et-EE"/>
        </w:rPr>
        <w:t xml:space="preserve"> </w:t>
      </w:r>
      <w:r w:rsidR="00A92485" w:rsidRPr="005011BB">
        <w:rPr>
          <w:lang w:val="et-EE"/>
        </w:rPr>
        <w:t>Ettevõtlusaktiivsuse ja tööhõive kasv ning ettevõtlusõppele kaasa aitamine.</w:t>
      </w:r>
    </w:p>
    <w:p w14:paraId="7D597ADB" w14:textId="77777777" w:rsidR="00E865D9" w:rsidRPr="005011BB" w:rsidRDefault="00E865D9" w:rsidP="00410D16">
      <w:pPr>
        <w:pStyle w:val="Vahedeta"/>
        <w:rPr>
          <w:lang w:val="et-EE"/>
        </w:rPr>
      </w:pPr>
    </w:p>
    <w:p w14:paraId="40266720" w14:textId="32FBB4F2" w:rsidR="00722065" w:rsidRPr="005011BB" w:rsidRDefault="003E1452" w:rsidP="00410D16">
      <w:pPr>
        <w:pStyle w:val="Vahedeta"/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 w:rsidRPr="005011BB">
        <w:rPr>
          <w:rFonts w:asciiTheme="majorBidi" w:hAnsiTheme="majorBidi" w:cstheme="majorBidi"/>
          <w:b/>
          <w:bCs/>
          <w:sz w:val="24"/>
          <w:szCs w:val="24"/>
          <w:lang w:val="et-EE"/>
        </w:rPr>
        <w:t>4.</w:t>
      </w:r>
      <w:r w:rsidR="00792912" w:rsidRPr="005011BB">
        <w:rPr>
          <w:rFonts w:asciiTheme="majorBidi" w:hAnsiTheme="majorBidi" w:cstheme="majorBidi"/>
          <w:b/>
          <w:bCs/>
          <w:sz w:val="24"/>
          <w:szCs w:val="24"/>
          <w:lang w:val="et-EE"/>
        </w:rPr>
        <w:t>Toetatavad tegevused:</w:t>
      </w:r>
    </w:p>
    <w:p w14:paraId="082112DC" w14:textId="70C8D39C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>● Noorte ettevõtlusalaste üld- ja baasoskuste arendamine.</w:t>
      </w:r>
    </w:p>
    <w:p w14:paraId="1C044ABF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Õppeasutuste ja ettevõtete vahelise koostöö arendamine. </w:t>
      </w:r>
    </w:p>
    <w:p w14:paraId="7F33E7B9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MTÜ Partnerid, teiste piirkondlike arenguorganisatsioonide ning toetus- ja arenguvõimaluste info põimimine piirkonna õppeasutuste õppe ainekavadesse. </w:t>
      </w:r>
    </w:p>
    <w:p w14:paraId="10191157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Noortele suunatud üritused, koolitused, õppereisid, laagrid, suvepäevad, võrgustiku ja koostöö arendamine, töövarju päevad, infopäevad jt. </w:t>
      </w:r>
    </w:p>
    <w:p w14:paraId="1C1CFD80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Piirkonna teeviida ja ettevõtlusmessi korraldamine. </w:t>
      </w:r>
    </w:p>
    <w:p w14:paraId="2E045292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Terviseedenduslikud projektid, sh noorte vaimse tervise toetamisele suunatud projektid. </w:t>
      </w:r>
    </w:p>
    <w:p w14:paraId="1DE39997" w14:textId="0284C4AA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>● Vihmavarju projektid</w:t>
      </w:r>
      <w:r w:rsidR="0011735E" w:rsidRPr="005011BB">
        <w:rPr>
          <w:lang w:val="et-EE"/>
        </w:rPr>
        <w:t xml:space="preserve"> – MTÜ Partnerid on taotleja</w:t>
      </w:r>
    </w:p>
    <w:p w14:paraId="5C59F030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Noortekeskuste tegevuste mitmekesistamine. </w:t>
      </w:r>
    </w:p>
    <w:p w14:paraId="64EE5788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Mentorlus. </w:t>
      </w:r>
    </w:p>
    <w:p w14:paraId="533E67A4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>● Edulugude kogumine ja kajastamine.</w:t>
      </w:r>
    </w:p>
    <w:p w14:paraId="7E1BA9D9" w14:textId="77777777" w:rsidR="00A92485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>● Teised strateegilise sihi saavutamiseks vajalikud tegevused</w:t>
      </w:r>
    </w:p>
    <w:p w14:paraId="46553428" w14:textId="77777777" w:rsidR="005011BB" w:rsidRPr="005011BB" w:rsidRDefault="005011BB" w:rsidP="005011BB">
      <w:pPr>
        <w:pStyle w:val="Vahedeta"/>
        <w:jc w:val="both"/>
        <w:rPr>
          <w:lang w:val="et-EE"/>
        </w:rPr>
      </w:pPr>
    </w:p>
    <w:p w14:paraId="3BC4C25B" w14:textId="161A3FB0" w:rsidR="001A1B53" w:rsidRPr="00EB0184" w:rsidRDefault="00A92485" w:rsidP="005011BB">
      <w:pPr>
        <w:pStyle w:val="Vahedeta"/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lang w:val="et-EE"/>
        </w:rPr>
        <w:t xml:space="preserve"> </w:t>
      </w:r>
      <w:r w:rsidR="00703399" w:rsidRPr="00EB0184">
        <w:rPr>
          <w:rFonts w:cstheme="minorHAnsi"/>
          <w:lang w:val="et-EE"/>
        </w:rPr>
        <w:t>5.</w:t>
      </w:r>
      <w:r w:rsidR="00E528D3" w:rsidRPr="00EB0184">
        <w:rPr>
          <w:rFonts w:cstheme="minorHAnsi"/>
          <w:b/>
          <w:bCs/>
          <w:lang w:val="et-EE"/>
        </w:rPr>
        <w:t>Abikõlbulikud kulud:</w:t>
      </w:r>
    </w:p>
    <w:p w14:paraId="51480ABF" w14:textId="0F450941" w:rsidR="0011735E" w:rsidRPr="00EB0184" w:rsidRDefault="0011735E" w:rsidP="005011BB">
      <w:pPr>
        <w:pStyle w:val="Vahedeta"/>
        <w:numPr>
          <w:ilvl w:val="0"/>
          <w:numId w:val="3"/>
        </w:numPr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 </w:t>
      </w:r>
      <w:r w:rsidR="00140DBE" w:rsidRPr="00EB0184">
        <w:rPr>
          <w:rFonts w:cstheme="minorHAnsi"/>
          <w:lang w:val="et-EE"/>
        </w:rPr>
        <w:t>Ühisprojektide raames k</w:t>
      </w:r>
      <w:r w:rsidRPr="00EB0184">
        <w:rPr>
          <w:rFonts w:cstheme="minorHAnsi"/>
          <w:lang w:val="et-EE"/>
        </w:rPr>
        <w:t>oolitus</w:t>
      </w:r>
      <w:r w:rsidR="00140DBE" w:rsidRPr="00EB0184">
        <w:rPr>
          <w:rFonts w:cstheme="minorHAnsi"/>
          <w:lang w:val="et-EE"/>
        </w:rPr>
        <w:t>t</w:t>
      </w:r>
      <w:r w:rsidRPr="00EB0184">
        <w:rPr>
          <w:rFonts w:cstheme="minorHAnsi"/>
          <w:lang w:val="et-EE"/>
        </w:rPr>
        <w:t>e</w:t>
      </w:r>
      <w:r w:rsidR="00140DBE" w:rsidRPr="00EB0184">
        <w:rPr>
          <w:rFonts w:cstheme="minorHAnsi"/>
          <w:lang w:val="et-EE"/>
        </w:rPr>
        <w:t xml:space="preserve">, </w:t>
      </w:r>
      <w:r w:rsidRPr="00EB0184">
        <w:rPr>
          <w:rFonts w:cstheme="minorHAnsi"/>
          <w:lang w:val="et-EE"/>
        </w:rPr>
        <w:t>infopäevade, konverentside, õpitubade, ettevõtete külastamise, messide</w:t>
      </w:r>
      <w:r w:rsidR="007451CC" w:rsidRPr="00EB0184">
        <w:rPr>
          <w:rFonts w:cstheme="minorHAnsi"/>
          <w:lang w:val="et-EE"/>
        </w:rPr>
        <w:t>-laatade</w:t>
      </w:r>
      <w:r w:rsidRPr="00EB0184">
        <w:rPr>
          <w:rFonts w:cstheme="minorHAnsi"/>
          <w:lang w:val="et-EE"/>
        </w:rPr>
        <w:t xml:space="preserve"> külastamise, õppereiside</w:t>
      </w:r>
      <w:r w:rsidR="00140DBE" w:rsidRPr="00EB0184">
        <w:rPr>
          <w:rFonts w:cstheme="minorHAnsi"/>
          <w:lang w:val="et-EE"/>
        </w:rPr>
        <w:t>, laagrite</w:t>
      </w:r>
      <w:r w:rsidRPr="00EB0184">
        <w:rPr>
          <w:rFonts w:cstheme="minorHAnsi"/>
          <w:lang w:val="et-EE"/>
        </w:rPr>
        <w:t xml:space="preserve"> jms) korraldamise kulud (s.h. ruumide, esitlustehnika rent, tõlketeenus, transport, toitlustus, majutus, koolitaja/lektori töötasu, osalemistasud, koolitusmaterjalide koostamise kulud jne)</w:t>
      </w:r>
    </w:p>
    <w:p w14:paraId="1A5017C0" w14:textId="37ABCCCD" w:rsidR="0011735E" w:rsidRPr="00EB0184" w:rsidRDefault="0011735E" w:rsidP="005011BB">
      <w:pPr>
        <w:pStyle w:val="Vahedeta"/>
        <w:numPr>
          <w:ilvl w:val="0"/>
          <w:numId w:val="3"/>
        </w:numPr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  Abikõlbulikud on kulud, mis vastavad LEADER määruse nõuetele</w:t>
      </w:r>
    </w:p>
    <w:p w14:paraId="4512F24A" w14:textId="77777777" w:rsidR="00140DBE" w:rsidRPr="00EB0184" w:rsidRDefault="00140DBE" w:rsidP="00140DBE">
      <w:pPr>
        <w:pStyle w:val="Vahedeta"/>
        <w:ind w:left="720"/>
        <w:jc w:val="both"/>
        <w:rPr>
          <w:rFonts w:cstheme="minorHAnsi"/>
          <w:lang w:val="et-EE"/>
        </w:rPr>
      </w:pPr>
    </w:p>
    <w:p w14:paraId="45FF28A6" w14:textId="037DF852" w:rsidR="00140DBE" w:rsidRPr="00EB0184" w:rsidRDefault="00703399" w:rsidP="00140DBE">
      <w:pPr>
        <w:pStyle w:val="Vahedeta"/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b/>
          <w:bCs/>
          <w:lang w:val="et-EE"/>
        </w:rPr>
        <w:t>6.</w:t>
      </w:r>
      <w:r w:rsidR="00140DBE" w:rsidRPr="00EB0184">
        <w:rPr>
          <w:rFonts w:cstheme="minorHAnsi"/>
          <w:b/>
          <w:bCs/>
          <w:lang w:val="et-EE"/>
        </w:rPr>
        <w:t xml:space="preserve"> Mitteabikõlbulikud kulud:</w:t>
      </w:r>
      <w:r w:rsidR="007B62FA" w:rsidRPr="00EB0184">
        <w:rPr>
          <w:rFonts w:cstheme="minorHAnsi"/>
          <w:b/>
          <w:bCs/>
          <w:lang w:val="et-EE"/>
        </w:rPr>
        <w:t xml:space="preserve"> </w:t>
      </w:r>
    </w:p>
    <w:p w14:paraId="3A46EAA6" w14:textId="4B7A6E13" w:rsidR="007B62FA" w:rsidRPr="00EB0184" w:rsidRDefault="00140DBE" w:rsidP="00140DBE">
      <w:pPr>
        <w:pStyle w:val="Vahedeta"/>
        <w:numPr>
          <w:ilvl w:val="0"/>
          <w:numId w:val="4"/>
        </w:numPr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lang w:val="et-EE"/>
        </w:rPr>
        <w:t>I</w:t>
      </w:r>
      <w:r w:rsidR="007B62FA" w:rsidRPr="00EB0184">
        <w:rPr>
          <w:rFonts w:cstheme="minorHAnsi"/>
          <w:lang w:val="et-EE"/>
        </w:rPr>
        <w:t>nvesteeringud</w:t>
      </w:r>
    </w:p>
    <w:p w14:paraId="7285E5A5" w14:textId="28DB1F4E" w:rsidR="007451CC" w:rsidRPr="00EB0184" w:rsidRDefault="007451CC" w:rsidP="00140DBE">
      <w:pPr>
        <w:pStyle w:val="Vahedeta"/>
        <w:numPr>
          <w:ilvl w:val="0"/>
          <w:numId w:val="4"/>
        </w:numPr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lang w:val="et-EE"/>
        </w:rPr>
        <w:t>Projektijuhtimine</w:t>
      </w:r>
    </w:p>
    <w:p w14:paraId="11C9F023" w14:textId="1084511B" w:rsidR="007451CC" w:rsidRPr="00EB0184" w:rsidRDefault="007451CC" w:rsidP="00140DBE">
      <w:pPr>
        <w:pStyle w:val="Vahedeta"/>
        <w:numPr>
          <w:ilvl w:val="0"/>
          <w:numId w:val="4"/>
        </w:numPr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lang w:val="et-EE"/>
        </w:rPr>
        <w:t>Vabatahtlik tasustama töö</w:t>
      </w:r>
    </w:p>
    <w:p w14:paraId="2FD7CA3B" w14:textId="23940292" w:rsidR="0011735E" w:rsidRPr="00EB0184" w:rsidRDefault="00140DBE" w:rsidP="00140DBE">
      <w:pPr>
        <w:pStyle w:val="Vahedeta"/>
        <w:numPr>
          <w:ilvl w:val="0"/>
          <w:numId w:val="4"/>
        </w:numPr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T</w:t>
      </w:r>
      <w:r w:rsidR="0011735E" w:rsidRPr="00EB0184">
        <w:rPr>
          <w:rFonts w:cstheme="minorHAnsi"/>
          <w:lang w:val="et-EE"/>
        </w:rPr>
        <w:t>oitlustamin</w:t>
      </w:r>
      <w:r w:rsidR="00463053" w:rsidRPr="00EB0184">
        <w:rPr>
          <w:rFonts w:cstheme="minorHAnsi"/>
          <w:lang w:val="et-EE"/>
        </w:rPr>
        <w:t>e ning meelelahutuslikud kulud (</w:t>
      </w:r>
      <w:r w:rsidR="007B62FA" w:rsidRPr="00EB0184">
        <w:rPr>
          <w:rFonts w:cstheme="minorHAnsi"/>
          <w:lang w:val="et-EE"/>
        </w:rPr>
        <w:t xml:space="preserve">näit. </w:t>
      </w:r>
      <w:r w:rsidR="00463053" w:rsidRPr="00EB0184">
        <w:rPr>
          <w:rFonts w:cstheme="minorHAnsi"/>
          <w:lang w:val="et-EE"/>
        </w:rPr>
        <w:t>muusika)</w:t>
      </w:r>
      <w:r w:rsidR="0011735E" w:rsidRPr="00EB0184">
        <w:rPr>
          <w:rFonts w:cstheme="minorHAnsi"/>
          <w:lang w:val="et-EE"/>
        </w:rPr>
        <w:t xml:space="preserve"> vihmavarjuprojektide puhul</w:t>
      </w:r>
    </w:p>
    <w:p w14:paraId="2D0A536C" w14:textId="2BFE09F7" w:rsidR="0011735E" w:rsidRPr="00EB0184" w:rsidRDefault="0011735E" w:rsidP="005011BB">
      <w:pPr>
        <w:pStyle w:val="Vahedeta"/>
        <w:ind w:left="720"/>
        <w:jc w:val="both"/>
        <w:rPr>
          <w:rFonts w:cstheme="minorHAnsi"/>
          <w:lang w:val="et-EE"/>
        </w:rPr>
      </w:pPr>
    </w:p>
    <w:p w14:paraId="0ABE2732" w14:textId="77777777" w:rsidR="00410D16" w:rsidRPr="00EB0184" w:rsidRDefault="00410D16" w:rsidP="005011BB">
      <w:pPr>
        <w:pStyle w:val="Vahedeta"/>
        <w:jc w:val="both"/>
        <w:rPr>
          <w:rFonts w:cstheme="minorHAnsi"/>
          <w:lang w:val="et-EE"/>
        </w:rPr>
      </w:pPr>
    </w:p>
    <w:p w14:paraId="448AC29C" w14:textId="6BDE8439" w:rsidR="00792912" w:rsidRPr="00EB0184" w:rsidRDefault="00703399" w:rsidP="005011BB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r w:rsidRPr="00EB0184">
        <w:rPr>
          <w:rFonts w:eastAsia="Times New Roman" w:cstheme="minorHAnsi"/>
          <w:b/>
          <w:bCs/>
          <w:color w:val="333333"/>
        </w:rPr>
        <w:t>7</w:t>
      </w:r>
      <w:r w:rsidR="00410D16" w:rsidRPr="00EB0184">
        <w:rPr>
          <w:rFonts w:eastAsia="Times New Roman" w:cstheme="minorHAnsi"/>
          <w:b/>
          <w:bCs/>
          <w:color w:val="333333"/>
        </w:rPr>
        <w:t>.</w:t>
      </w:r>
      <w:r w:rsidR="003111B0" w:rsidRPr="00EB0184">
        <w:rPr>
          <w:rFonts w:eastAsia="Times New Roman" w:cstheme="minorHAnsi"/>
          <w:b/>
          <w:bCs/>
          <w:color w:val="333333"/>
        </w:rPr>
        <w:t>N</w:t>
      </w:r>
      <w:r w:rsidR="00792912" w:rsidRPr="00EB0184">
        <w:rPr>
          <w:rFonts w:eastAsia="Times New Roman" w:cstheme="minorHAnsi"/>
          <w:b/>
          <w:bCs/>
          <w:color w:val="333333"/>
        </w:rPr>
        <w:t xml:space="preserve">õuded projektitoetuse taotlejale ja toetuse saajale (sh. </w:t>
      </w:r>
      <w:r w:rsidR="003111B0" w:rsidRPr="00EB0184">
        <w:rPr>
          <w:rFonts w:eastAsia="Times New Roman" w:cstheme="minorHAnsi"/>
          <w:b/>
          <w:bCs/>
          <w:color w:val="333333"/>
        </w:rPr>
        <w:t xml:space="preserve">dokumendid </w:t>
      </w:r>
      <w:r w:rsidR="00792912" w:rsidRPr="00EB0184">
        <w:rPr>
          <w:rFonts w:eastAsia="Times New Roman" w:cstheme="minorHAnsi"/>
          <w:b/>
          <w:bCs/>
          <w:color w:val="333333"/>
        </w:rPr>
        <w:t>mida peab taotleja esitama):</w:t>
      </w:r>
    </w:p>
    <w:p w14:paraId="615CD8DF" w14:textId="4E79227F" w:rsidR="002D72B5" w:rsidRPr="00EB0184" w:rsidRDefault="00792912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1.</w:t>
      </w:r>
      <w:r w:rsidR="001A1B53" w:rsidRPr="00EB0184">
        <w:rPr>
          <w:rFonts w:cstheme="minorHAnsi"/>
          <w:lang w:val="et-EE"/>
        </w:rPr>
        <w:t xml:space="preserve"> Taotleja</w:t>
      </w:r>
      <w:r w:rsidR="00FC46C0" w:rsidRPr="00EB0184">
        <w:rPr>
          <w:rFonts w:cstheme="minorHAnsi"/>
          <w:lang w:val="et-EE"/>
        </w:rPr>
        <w:t xml:space="preserve"> ja taotlus</w:t>
      </w:r>
      <w:r w:rsidR="001A1B53" w:rsidRPr="00EB0184">
        <w:rPr>
          <w:rFonts w:cstheme="minorHAnsi"/>
          <w:lang w:val="et-EE"/>
        </w:rPr>
        <w:t xml:space="preserve"> pea</w:t>
      </w:r>
      <w:r w:rsidR="00FC46C0" w:rsidRPr="00EB0184">
        <w:rPr>
          <w:rFonts w:cstheme="minorHAnsi"/>
          <w:lang w:val="et-EE"/>
        </w:rPr>
        <w:t>vad</w:t>
      </w:r>
      <w:r w:rsidR="001A1B53" w:rsidRPr="00EB0184">
        <w:rPr>
          <w:rFonts w:cstheme="minorHAnsi"/>
          <w:lang w:val="et-EE"/>
        </w:rPr>
        <w:t xml:space="preserve"> vastama</w:t>
      </w:r>
      <w:r w:rsidRPr="00EB0184">
        <w:rPr>
          <w:rFonts w:cstheme="minorHAnsi"/>
          <w:lang w:val="et-EE"/>
        </w:rPr>
        <w:t xml:space="preserve"> LEADER määruse</w:t>
      </w:r>
      <w:r w:rsidR="001A1B53" w:rsidRPr="00EB0184">
        <w:rPr>
          <w:rFonts w:cstheme="minorHAnsi"/>
          <w:lang w:val="et-EE"/>
        </w:rPr>
        <w:t xml:space="preserve"> nõuetele</w:t>
      </w:r>
    </w:p>
    <w:p w14:paraId="2715F34B" w14:textId="52836309" w:rsidR="00FC46C0" w:rsidRPr="00EB0184" w:rsidRDefault="003111B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b/>
          <w:bCs/>
          <w:i/>
          <w:iCs/>
          <w:lang w:val="et-EE"/>
        </w:rPr>
        <w:t xml:space="preserve">2. </w:t>
      </w:r>
      <w:r w:rsidR="00FC46C0" w:rsidRPr="00EB0184">
        <w:rPr>
          <w:rFonts w:cstheme="minorHAnsi"/>
          <w:b/>
          <w:bCs/>
          <w:i/>
          <w:iCs/>
          <w:lang w:val="et-EE"/>
        </w:rPr>
        <w:t xml:space="preserve"> MTÜ Partnerid täiendavad nõuded</w:t>
      </w:r>
      <w:r w:rsidR="00FC46C0" w:rsidRPr="00EB0184">
        <w:rPr>
          <w:rFonts w:cstheme="minorHAnsi"/>
          <w:lang w:val="et-EE"/>
        </w:rPr>
        <w:t xml:space="preserve">: </w:t>
      </w:r>
    </w:p>
    <w:p w14:paraId="10233F4B" w14:textId="5A1EAD97" w:rsidR="00FC46C0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2.1.Taotlejateks võivad olla MTÜ Partnerite  tegevuspiirkonnas registreeritud (juriidiline aadress) ning tegutsevad:</w:t>
      </w:r>
    </w:p>
    <w:p w14:paraId="58D069FD" w14:textId="71FCE1AB" w:rsidR="00CE1133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 </w:t>
      </w:r>
      <w:r w:rsidR="00CE1133" w:rsidRPr="00EB0184">
        <w:rPr>
          <w:rFonts w:cstheme="minorHAnsi"/>
          <w:lang w:val="et-EE"/>
        </w:rPr>
        <w:t xml:space="preserve">● MTÜ-d, </w:t>
      </w:r>
      <w:r w:rsidR="002D72B5" w:rsidRPr="00EB0184">
        <w:rPr>
          <w:rFonts w:cstheme="minorHAnsi"/>
          <w:lang w:val="et-EE"/>
        </w:rPr>
        <w:t>KOV-id</w:t>
      </w:r>
      <w:r w:rsidR="00463053" w:rsidRPr="00EB0184">
        <w:rPr>
          <w:rFonts w:cstheme="minorHAnsi"/>
          <w:lang w:val="et-EE"/>
        </w:rPr>
        <w:t xml:space="preserve"> (MTÜ Partneritel võib olla teine juriidiline aadress)</w:t>
      </w:r>
    </w:p>
    <w:p w14:paraId="712E1C7E" w14:textId="57519C9D" w:rsidR="00463053" w:rsidRPr="00EB0184" w:rsidRDefault="00463053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 ● Partneriteks võivad olla </w:t>
      </w:r>
      <w:r w:rsidR="00703399" w:rsidRPr="00EB0184">
        <w:rPr>
          <w:rFonts w:cstheme="minorHAnsi"/>
          <w:lang w:val="et-EE"/>
        </w:rPr>
        <w:t xml:space="preserve">ka </w:t>
      </w:r>
      <w:r w:rsidRPr="00EB0184">
        <w:rPr>
          <w:rFonts w:cstheme="minorHAnsi"/>
          <w:lang w:val="et-EE"/>
        </w:rPr>
        <w:t>mikro-ja väikeettevõtted</w:t>
      </w:r>
    </w:p>
    <w:p w14:paraId="633C4AFC" w14:textId="77777777" w:rsidR="00463053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2.2. </w:t>
      </w:r>
      <w:r w:rsidR="00463053" w:rsidRPr="00EB0184">
        <w:rPr>
          <w:rFonts w:cstheme="minorHAnsi"/>
          <w:lang w:val="et-EE"/>
        </w:rPr>
        <w:t>Tegevused</w:t>
      </w:r>
      <w:r w:rsidR="009D2913" w:rsidRPr="00EB0184">
        <w:rPr>
          <w:rFonts w:cstheme="minorHAnsi"/>
          <w:lang w:val="et-EE"/>
        </w:rPr>
        <w:t xml:space="preserve"> on suunatud piirkonna </w:t>
      </w:r>
      <w:r w:rsidR="00463053" w:rsidRPr="00EB0184">
        <w:rPr>
          <w:rFonts w:cstheme="minorHAnsi"/>
          <w:lang w:val="et-EE"/>
        </w:rPr>
        <w:t>7-</w:t>
      </w:r>
      <w:r w:rsidR="009D2913" w:rsidRPr="00EB0184">
        <w:rPr>
          <w:rFonts w:cstheme="minorHAnsi"/>
          <w:lang w:val="et-EE"/>
        </w:rPr>
        <w:t xml:space="preserve">26-aastastele </w:t>
      </w:r>
      <w:r w:rsidR="00463053" w:rsidRPr="00EB0184">
        <w:rPr>
          <w:rFonts w:cstheme="minorHAnsi"/>
          <w:lang w:val="et-EE"/>
        </w:rPr>
        <w:t>lastele ja noortele</w:t>
      </w:r>
    </w:p>
    <w:p w14:paraId="4D6DF690" w14:textId="06E03636" w:rsidR="00247FD5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2.3 </w:t>
      </w:r>
      <w:r w:rsidR="00247FD5" w:rsidRPr="00EB0184">
        <w:rPr>
          <w:rFonts w:cstheme="minorHAnsi"/>
          <w:lang w:val="et-EE"/>
        </w:rPr>
        <w:t xml:space="preserve">Taotlusega esitatakse eelmise </w:t>
      </w:r>
      <w:r w:rsidR="00CE1133" w:rsidRPr="00EB0184">
        <w:rPr>
          <w:rFonts w:cstheme="minorHAnsi"/>
          <w:lang w:val="et-EE"/>
        </w:rPr>
        <w:t>majandus</w:t>
      </w:r>
      <w:r w:rsidR="00247FD5" w:rsidRPr="00EB0184">
        <w:rPr>
          <w:rFonts w:cstheme="minorHAnsi"/>
          <w:lang w:val="et-EE"/>
        </w:rPr>
        <w:t>aasta bilanss ja kasumiaruanne, kui aasta aruanne ei ole veel äriregistrisse esitatud</w:t>
      </w:r>
    </w:p>
    <w:p w14:paraId="0FB12CE3" w14:textId="2339A95B" w:rsidR="00703399" w:rsidRPr="00EB0184" w:rsidRDefault="00703399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2.4 Tegevuste elluviimisega tuleb alustada hiljemalt 9 kuud peale PRIA rahastusotsuse tegemist</w:t>
      </w:r>
    </w:p>
    <w:p w14:paraId="10FC7EB2" w14:textId="074E22B6" w:rsidR="00FC46C0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</w:t>
      </w:r>
      <w:r w:rsidR="00247FD5" w:rsidRPr="00EB0184">
        <w:rPr>
          <w:rFonts w:cstheme="minorHAnsi"/>
          <w:lang w:val="et-EE"/>
        </w:rPr>
        <w:t>5</w:t>
      </w:r>
      <w:r w:rsidRPr="00EB0184">
        <w:rPr>
          <w:rFonts w:cstheme="minorHAnsi"/>
          <w:lang w:val="et-EE"/>
        </w:rPr>
        <w:t xml:space="preserve">. </w:t>
      </w:r>
      <w:r w:rsidR="00463053" w:rsidRPr="00EB0184">
        <w:rPr>
          <w:rFonts w:cstheme="minorHAnsi"/>
          <w:lang w:val="et-EE"/>
        </w:rPr>
        <w:t>Ühisprojekt</w:t>
      </w:r>
      <w:r w:rsidRPr="00EB0184">
        <w:rPr>
          <w:rFonts w:cstheme="minorHAnsi"/>
          <w:lang w:val="et-EE"/>
        </w:rPr>
        <w:t xml:space="preserve"> </w:t>
      </w:r>
      <w:r w:rsidR="007F1C10" w:rsidRPr="00EB0184">
        <w:rPr>
          <w:rFonts w:cstheme="minorHAnsi"/>
          <w:lang w:val="et-EE"/>
        </w:rPr>
        <w:t xml:space="preserve">viiakse ellu </w:t>
      </w:r>
      <w:r w:rsidR="00463053" w:rsidRPr="00EB0184">
        <w:rPr>
          <w:rFonts w:cstheme="minorHAnsi"/>
          <w:lang w:val="et-EE"/>
        </w:rPr>
        <w:t xml:space="preserve"> kuni 2</w:t>
      </w:r>
      <w:r w:rsidR="007F1C10" w:rsidRPr="00EB0184">
        <w:rPr>
          <w:rFonts w:cstheme="minorHAnsi"/>
          <w:lang w:val="et-EE"/>
        </w:rPr>
        <w:t>aasta jooksul</w:t>
      </w:r>
      <w:r w:rsidR="00463053" w:rsidRPr="00EB0184">
        <w:rPr>
          <w:rFonts w:cstheme="minorHAnsi"/>
          <w:lang w:val="et-EE"/>
        </w:rPr>
        <w:t>.</w:t>
      </w:r>
    </w:p>
    <w:p w14:paraId="41953400" w14:textId="66838745" w:rsidR="00FC46C0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</w:t>
      </w:r>
      <w:r w:rsidR="00247FD5" w:rsidRPr="00EB0184">
        <w:rPr>
          <w:rFonts w:cstheme="minorHAnsi"/>
          <w:lang w:val="et-EE"/>
        </w:rPr>
        <w:t>6</w:t>
      </w:r>
      <w:r w:rsidRPr="00EB0184">
        <w:rPr>
          <w:rFonts w:cstheme="minorHAnsi"/>
          <w:lang w:val="et-EE"/>
        </w:rPr>
        <w:t>. Taotlejal võib olla</w:t>
      </w:r>
      <w:r w:rsidR="007F1C10" w:rsidRPr="00EB0184">
        <w:rPr>
          <w:rFonts w:cstheme="minorHAnsi"/>
          <w:lang w:val="et-EE"/>
        </w:rPr>
        <w:t xml:space="preserve"> taotluse</w:t>
      </w:r>
      <w:r w:rsidRPr="00EB0184">
        <w:rPr>
          <w:rFonts w:cstheme="minorHAnsi"/>
          <w:lang w:val="et-EE"/>
        </w:rPr>
        <w:t xml:space="preserve"> esitamise hetkel </w:t>
      </w:r>
      <w:r w:rsidR="00463053" w:rsidRPr="00EB0184">
        <w:rPr>
          <w:rFonts w:cstheme="minorHAnsi"/>
          <w:lang w:val="et-EE"/>
        </w:rPr>
        <w:t xml:space="preserve">teises </w:t>
      </w:r>
      <w:r w:rsidRPr="00EB0184">
        <w:rPr>
          <w:rFonts w:cstheme="minorHAnsi"/>
          <w:lang w:val="et-EE"/>
        </w:rPr>
        <w:t>LEADER meetmes üks pooleliolev projekt</w:t>
      </w:r>
      <w:r w:rsidR="007B62FA" w:rsidRPr="00EB0184">
        <w:rPr>
          <w:rFonts w:cstheme="minorHAnsi"/>
          <w:lang w:val="et-EE"/>
        </w:rPr>
        <w:t xml:space="preserve"> v.a. MTÜ Partnerid, kellel võib olla mitu pooleli olevat projekti.</w:t>
      </w:r>
    </w:p>
    <w:p w14:paraId="0C5E2A41" w14:textId="5243F18D" w:rsidR="001016BE" w:rsidRPr="00EB0184" w:rsidRDefault="001016BE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2.7. LEADER määruses nõutud dokumendid</w:t>
      </w:r>
    </w:p>
    <w:p w14:paraId="4E87D0D2" w14:textId="77777777" w:rsidR="00247FD5" w:rsidRPr="00EB0184" w:rsidRDefault="00247FD5" w:rsidP="005011BB">
      <w:pPr>
        <w:pStyle w:val="Vahedeta"/>
        <w:jc w:val="both"/>
        <w:rPr>
          <w:rFonts w:cstheme="minorHAnsi"/>
          <w:lang w:val="et-EE"/>
        </w:rPr>
      </w:pPr>
    </w:p>
    <w:p w14:paraId="1E0ED3AF" w14:textId="2F80F16C" w:rsidR="00792912" w:rsidRPr="00EB0184" w:rsidRDefault="00703399" w:rsidP="005011BB">
      <w:pPr>
        <w:pStyle w:val="Vahedeta"/>
        <w:jc w:val="both"/>
        <w:rPr>
          <w:rFonts w:eastAsia="Times New Roman" w:cstheme="minorHAnsi"/>
          <w:b/>
          <w:bCs/>
          <w:color w:val="333333"/>
          <w:lang w:val="et-EE"/>
        </w:rPr>
      </w:pPr>
      <w:r w:rsidRPr="00EB0184">
        <w:rPr>
          <w:rFonts w:eastAsia="Times New Roman" w:cstheme="minorHAnsi"/>
          <w:b/>
          <w:bCs/>
          <w:color w:val="333333"/>
          <w:lang w:val="et-EE"/>
        </w:rPr>
        <w:t>8</w:t>
      </w:r>
      <w:r w:rsidR="003111B0" w:rsidRPr="00EB0184">
        <w:rPr>
          <w:rFonts w:eastAsia="Times New Roman" w:cstheme="minorHAnsi"/>
          <w:b/>
          <w:bCs/>
          <w:color w:val="333333"/>
          <w:lang w:val="et-EE"/>
        </w:rPr>
        <w:t>.</w:t>
      </w:r>
      <w:r w:rsidR="00792912" w:rsidRPr="00EB0184">
        <w:rPr>
          <w:rFonts w:eastAsia="Times New Roman" w:cstheme="minorHAnsi"/>
          <w:b/>
          <w:bCs/>
          <w:color w:val="333333"/>
          <w:lang w:val="et-EE"/>
        </w:rPr>
        <w:t>Toetuse maksimaalne suurus ja määr:</w:t>
      </w:r>
    </w:p>
    <w:p w14:paraId="68F3DA0B" w14:textId="3F6C0B4E" w:rsidR="008656DD" w:rsidRPr="00EB0184" w:rsidRDefault="009D2913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MTÜ-dele ja KOV-idele 15-90% </w:t>
      </w:r>
    </w:p>
    <w:p w14:paraId="38CE0BEB" w14:textId="5AF1E617" w:rsidR="003111B0" w:rsidRPr="00EB0184" w:rsidRDefault="003111B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Maksimaalne toetuse suurus on </w:t>
      </w:r>
      <w:r w:rsidR="007F1C10" w:rsidRPr="00EB0184">
        <w:rPr>
          <w:rFonts w:cstheme="minorHAnsi"/>
          <w:lang w:val="et-EE"/>
        </w:rPr>
        <w:t xml:space="preserve">kuni </w:t>
      </w:r>
      <w:r w:rsidR="001016BE" w:rsidRPr="00EB0184">
        <w:rPr>
          <w:rFonts w:cstheme="minorHAnsi"/>
          <w:lang w:val="et-EE"/>
        </w:rPr>
        <w:t>2</w:t>
      </w:r>
      <w:r w:rsidR="007B62FA" w:rsidRPr="00EB0184">
        <w:rPr>
          <w:rFonts w:cstheme="minorHAnsi"/>
          <w:lang w:val="et-EE"/>
        </w:rPr>
        <w:t>0</w:t>
      </w:r>
      <w:r w:rsidRPr="00EB0184">
        <w:rPr>
          <w:rFonts w:cstheme="minorHAnsi"/>
          <w:lang w:val="et-EE"/>
        </w:rPr>
        <w:t> 000 eurot.</w:t>
      </w:r>
    </w:p>
    <w:p w14:paraId="52B8B150" w14:textId="77777777" w:rsidR="00DA472B" w:rsidRPr="00EB0184" w:rsidRDefault="00DA472B" w:rsidP="005011BB">
      <w:pPr>
        <w:pStyle w:val="Vahedeta"/>
        <w:jc w:val="both"/>
        <w:rPr>
          <w:rFonts w:cstheme="minorHAnsi"/>
          <w:lang w:val="et-EE"/>
        </w:rPr>
      </w:pPr>
    </w:p>
    <w:p w14:paraId="39DBA4AF" w14:textId="1058B15F" w:rsidR="00792912" w:rsidRPr="00EB0184" w:rsidRDefault="00703399" w:rsidP="005011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EB0184">
        <w:rPr>
          <w:rFonts w:eastAsia="Times New Roman" w:cstheme="minorHAnsi"/>
          <w:b/>
          <w:bCs/>
          <w:color w:val="333333"/>
        </w:rPr>
        <w:t>9</w:t>
      </w:r>
      <w:r w:rsidR="00DA472B" w:rsidRPr="00EB0184">
        <w:rPr>
          <w:rFonts w:eastAsia="Times New Roman" w:cstheme="minorHAnsi"/>
          <w:b/>
          <w:bCs/>
          <w:color w:val="333333"/>
        </w:rPr>
        <w:t>.</w:t>
      </w:r>
      <w:r w:rsidR="00792912" w:rsidRPr="00EB0184">
        <w:rPr>
          <w:rFonts w:eastAsia="Times New Roman" w:cstheme="minorHAnsi"/>
          <w:b/>
          <w:bCs/>
          <w:color w:val="333333"/>
        </w:rPr>
        <w:t>Sihtvaldkond, kuhu strateegia meede panustab</w:t>
      </w:r>
      <w:r w:rsidR="00792912" w:rsidRPr="00EB0184">
        <w:rPr>
          <w:rFonts w:eastAsia="Times New Roman" w:cstheme="minorHAnsi"/>
          <w:color w:val="333333"/>
        </w:rPr>
        <w:t>:</w:t>
      </w:r>
    </w:p>
    <w:p w14:paraId="3A49ABAF" w14:textId="660293F9" w:rsidR="00792912" w:rsidRPr="00EB0184" w:rsidRDefault="00DA472B" w:rsidP="005011BB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r w:rsidRPr="00EB0184">
        <w:rPr>
          <w:rFonts w:eastAsia="Times New Roman" w:cstheme="minorHAnsi"/>
          <w:color w:val="333333"/>
        </w:rPr>
        <w:t>Meede panustab Ühise põllumajanduspoliitika (ÜPP) strateegiakava vajaduste hindamise ja sekkumisstrateegia tulemusnäitajatesse R27; R37; R39; R41 ja R42.</w:t>
      </w:r>
    </w:p>
    <w:p w14:paraId="3369EC94" w14:textId="77777777" w:rsidR="00EB0184" w:rsidRDefault="00EB0184" w:rsidP="00EB0184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color w:val="333333"/>
        </w:rPr>
        <w:t>ÜPP-strateegiakava erieesmärk, mille saavutamisele strateegia meetme rakendamine enim kaasa aitab:</w:t>
      </w:r>
    </w:p>
    <w:p w14:paraId="01A5B586" w14:textId="77777777" w:rsidR="00EB0184" w:rsidRDefault="00EB0184" w:rsidP="00EB0184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ÜPP Eesti strateegiakava 2023-2027, panustab erieesmärgi nr 8 "Edendada tööhõivet, majanduskasvu, soolist võrdõiguslikkust, sealhulgas naiste osalemist põllumajanduses, sotsiaalset kaasatust ja kohalikku arengut maapiirkondades, sealhulgas ringbiomajandust ja säästvat metsamajandust" saavutamisse sh. ettevõtluse arendamine, teenuste kättesaadavuse parandamine, keskkonna-ja kliimasõbralike lahenduste toetamine ja maaelu positiivse kuvandi propageerimine .</w:t>
      </w:r>
      <w:r>
        <w:rPr>
          <w:rFonts w:eastAsia="Times New Roman" w:cstheme="minorHAnsi"/>
          <w:color w:val="333333"/>
        </w:rPr>
        <w:tab/>
        <w:t>Kohalike</w:t>
      </w:r>
      <w:r>
        <w:rPr>
          <w:rFonts w:eastAsia="Times New Roman" w:cstheme="minorHAnsi"/>
          <w:color w:val="333333"/>
        </w:rPr>
        <w:tab/>
        <w:t>kogukondade,</w:t>
      </w:r>
      <w:r>
        <w:rPr>
          <w:rFonts w:eastAsia="Times New Roman" w:cstheme="minorHAnsi"/>
          <w:color w:val="333333"/>
        </w:rPr>
        <w:tab/>
        <w:t>elanike ning</w:t>
      </w:r>
      <w:r>
        <w:rPr>
          <w:rFonts w:eastAsia="Times New Roman" w:cstheme="minorHAnsi"/>
          <w:color w:val="333333"/>
        </w:rPr>
        <w:tab/>
        <w:t>noorte</w:t>
      </w:r>
      <w:r>
        <w:rPr>
          <w:rFonts w:eastAsia="Times New Roman" w:cstheme="minorHAnsi"/>
          <w:color w:val="333333"/>
        </w:rPr>
        <w:tab/>
        <w:t>tulevikuliidrite</w:t>
      </w:r>
      <w:r>
        <w:rPr>
          <w:rFonts w:eastAsia="Times New Roman" w:cstheme="minorHAnsi"/>
          <w:color w:val="333333"/>
        </w:rPr>
        <w:tab/>
        <w:t>võimestamine.</w:t>
      </w:r>
    </w:p>
    <w:p w14:paraId="02C6B1E4" w14:textId="77777777" w:rsidR="00EB0184" w:rsidRPr="005011BB" w:rsidRDefault="00EB0184" w:rsidP="005011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D4EC6CF" w14:textId="1DEA803B" w:rsidR="00792912" w:rsidRPr="00EB0184" w:rsidRDefault="00703399" w:rsidP="005011B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</w:rPr>
      </w:pPr>
      <w:r w:rsidRPr="00EB0184">
        <w:rPr>
          <w:rFonts w:eastAsia="Times New Roman" w:cstheme="minorHAnsi"/>
          <w:b/>
          <w:bCs/>
          <w:color w:val="333333"/>
        </w:rPr>
        <w:t>10</w:t>
      </w:r>
      <w:r w:rsidR="00DA472B" w:rsidRPr="00EB0184">
        <w:rPr>
          <w:rFonts w:eastAsia="Times New Roman" w:cstheme="minorHAnsi"/>
          <w:b/>
          <w:bCs/>
          <w:color w:val="333333"/>
        </w:rPr>
        <w:t>.</w:t>
      </w:r>
      <w:r w:rsidR="00792912" w:rsidRPr="00EB0184">
        <w:rPr>
          <w:rFonts w:eastAsia="Times New Roman" w:cstheme="minorHAnsi"/>
          <w:b/>
          <w:bCs/>
          <w:color w:val="333333"/>
        </w:rPr>
        <w:t xml:space="preserve">Strateegia </w:t>
      </w:r>
      <w:r w:rsidR="00DA472B" w:rsidRPr="00EB0184">
        <w:rPr>
          <w:rFonts w:eastAsia="Times New Roman" w:cstheme="minorHAnsi"/>
          <w:b/>
          <w:bCs/>
          <w:color w:val="333333"/>
        </w:rPr>
        <w:t xml:space="preserve">täitmise </w:t>
      </w:r>
      <w:r w:rsidR="00792912" w:rsidRPr="00EB0184">
        <w:rPr>
          <w:rFonts w:eastAsia="Times New Roman" w:cstheme="minorHAnsi"/>
          <w:b/>
          <w:bCs/>
          <w:color w:val="333333"/>
        </w:rPr>
        <w:t>indikaatorid ja sihttasemed:</w:t>
      </w:r>
    </w:p>
    <w:p w14:paraId="122DC2B4" w14:textId="35DE105D" w:rsidR="00792912" w:rsidRPr="00EB0184" w:rsidRDefault="001016BE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1.</w:t>
      </w:r>
      <w:r w:rsidR="009D2913" w:rsidRPr="00EB0184">
        <w:rPr>
          <w:rFonts w:cstheme="minorHAnsi"/>
          <w:lang w:val="et-EE"/>
        </w:rPr>
        <w:t xml:space="preserve"> Vähemalt 100 noort kasusaajat strateegiaperioodi jooksul</w:t>
      </w:r>
    </w:p>
    <w:p w14:paraId="09406978" w14:textId="17C65C05" w:rsidR="001016BE" w:rsidRPr="00EB0184" w:rsidRDefault="001016BE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lastRenderedPageBreak/>
        <w:t xml:space="preserve">2. </w:t>
      </w:r>
      <w:r w:rsidR="009D2913" w:rsidRPr="00EB0184">
        <w:rPr>
          <w:rFonts w:cstheme="minorHAnsi"/>
          <w:lang w:val="et-EE"/>
        </w:rPr>
        <w:t>Ettevõtlusaktiivsuse kasv – ettevõtteid elanike kohta on strateegia perioodi lõpuks 16% (baasaasta 2022 -15%)</w:t>
      </w:r>
    </w:p>
    <w:p w14:paraId="6C0A70EE" w14:textId="597D25D2" w:rsidR="001016BE" w:rsidRPr="00EB0184" w:rsidRDefault="001016BE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3. </w:t>
      </w:r>
      <w:r w:rsidR="009D2913" w:rsidRPr="00EB0184">
        <w:rPr>
          <w:rFonts w:cstheme="minorHAnsi"/>
          <w:lang w:val="et-EE"/>
        </w:rPr>
        <w:t>Toetatud v</w:t>
      </w:r>
      <w:r w:rsidRPr="00EB0184">
        <w:rPr>
          <w:rFonts w:cstheme="minorHAnsi"/>
          <w:lang w:val="et-EE"/>
        </w:rPr>
        <w:t xml:space="preserve">ähemalt </w:t>
      </w:r>
      <w:r w:rsidR="009D2913" w:rsidRPr="00EB0184">
        <w:rPr>
          <w:rFonts w:cstheme="minorHAnsi"/>
          <w:lang w:val="et-EE"/>
        </w:rPr>
        <w:t>10 projekti strateegia perioodi jooksul</w:t>
      </w:r>
    </w:p>
    <w:p w14:paraId="0C20FEE5" w14:textId="599683E8" w:rsidR="00892958" w:rsidRPr="00EB0184" w:rsidRDefault="00FE6AED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4. </w:t>
      </w:r>
      <w:r w:rsidR="007B62FA" w:rsidRPr="00EB0184">
        <w:rPr>
          <w:rFonts w:cstheme="minorHAnsi"/>
          <w:lang w:val="et-EE"/>
        </w:rPr>
        <w:t>Vähemalt 10 läbiviidud üritust, milles osales kokku vähemalt 2000 osalejat</w:t>
      </w:r>
    </w:p>
    <w:p w14:paraId="4921456F" w14:textId="1777CBD1" w:rsidR="00892958" w:rsidRPr="00EB0184" w:rsidRDefault="00892958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6. Loodud vähemalt 4 õpilasfirmat perioodi jooksul</w:t>
      </w:r>
    </w:p>
    <w:p w14:paraId="414DE592" w14:textId="04833483" w:rsidR="007B62FA" w:rsidRPr="00EB0184" w:rsidRDefault="007B62FA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7. Piirkonna haridusasutustega/noorteorganistasioonidega teeb koostööd vähemalt 10 ettevõtet</w:t>
      </w:r>
    </w:p>
    <w:p w14:paraId="37175029" w14:textId="77777777" w:rsidR="001016BE" w:rsidRPr="00EB0184" w:rsidRDefault="001016BE" w:rsidP="005011BB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</w:p>
    <w:p w14:paraId="00931C28" w14:textId="59AF663B" w:rsidR="00792912" w:rsidRPr="005011BB" w:rsidRDefault="00703399" w:rsidP="005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 w:rsidR="00DA472B"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792912"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Projektitoetuse taotluste hindamiskriteeriumid:</w:t>
      </w:r>
    </w:p>
    <w:p w14:paraId="76AFCF26" w14:textId="77777777" w:rsidR="00877DB5" w:rsidRPr="005011BB" w:rsidRDefault="00877DB5" w:rsidP="005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Kontuurtabel"/>
        <w:tblW w:w="10060" w:type="dxa"/>
        <w:tblLayout w:type="fixed"/>
        <w:tblLook w:val="04A0" w:firstRow="1" w:lastRow="0" w:firstColumn="1" w:lastColumn="0" w:noHBand="0" w:noVBand="1"/>
      </w:tblPr>
      <w:tblGrid>
        <w:gridCol w:w="550"/>
        <w:gridCol w:w="3698"/>
        <w:gridCol w:w="1063"/>
        <w:gridCol w:w="1063"/>
        <w:gridCol w:w="3686"/>
      </w:tblGrid>
      <w:tr w:rsidR="00877DB5" w:rsidRPr="005011BB" w14:paraId="4290923D" w14:textId="77777777" w:rsidTr="00063F69">
        <w:tc>
          <w:tcPr>
            <w:tcW w:w="550" w:type="dxa"/>
            <w:shd w:val="clear" w:color="auto" w:fill="C5E0B3" w:themeFill="accent6" w:themeFillTint="66"/>
          </w:tcPr>
          <w:p w14:paraId="70D986F4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Jrk nr</w:t>
            </w:r>
          </w:p>
        </w:tc>
        <w:tc>
          <w:tcPr>
            <w:tcW w:w="3698" w:type="dxa"/>
            <w:shd w:val="clear" w:color="auto" w:fill="C5E0B3" w:themeFill="accent6" w:themeFillTint="66"/>
          </w:tcPr>
          <w:p w14:paraId="641B25F7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Hindamiskriteerium</w:t>
            </w:r>
          </w:p>
        </w:tc>
        <w:tc>
          <w:tcPr>
            <w:tcW w:w="1063" w:type="dxa"/>
            <w:shd w:val="clear" w:color="auto" w:fill="C5E0B3" w:themeFill="accent6" w:themeFillTint="66"/>
          </w:tcPr>
          <w:p w14:paraId="008C6128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Hinde-punktide skaala</w:t>
            </w:r>
          </w:p>
        </w:tc>
        <w:tc>
          <w:tcPr>
            <w:tcW w:w="1063" w:type="dxa"/>
            <w:shd w:val="clear" w:color="auto" w:fill="C5E0B3" w:themeFill="accent6" w:themeFillTint="66"/>
          </w:tcPr>
          <w:p w14:paraId="2477E8A4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Osakaal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27249C65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Eelistused</w:t>
            </w:r>
          </w:p>
        </w:tc>
      </w:tr>
      <w:tr w:rsidR="00877DB5" w:rsidRPr="005011BB" w14:paraId="40B40631" w14:textId="77777777" w:rsidTr="00063F69">
        <w:tc>
          <w:tcPr>
            <w:tcW w:w="550" w:type="dxa"/>
          </w:tcPr>
          <w:p w14:paraId="3F47118E" w14:textId="77777777" w:rsidR="00877DB5" w:rsidRPr="005011BB" w:rsidRDefault="00877DB5" w:rsidP="005011BB">
            <w:pPr>
              <w:jc w:val="both"/>
            </w:pPr>
            <w:r w:rsidRPr="005011BB">
              <w:t>1.</w:t>
            </w:r>
          </w:p>
        </w:tc>
        <w:tc>
          <w:tcPr>
            <w:tcW w:w="3698" w:type="dxa"/>
          </w:tcPr>
          <w:p w14:paraId="24793939" w14:textId="540FB38C" w:rsidR="00877DB5" w:rsidRPr="005011BB" w:rsidRDefault="00877DB5" w:rsidP="005011BB">
            <w:pPr>
              <w:jc w:val="both"/>
            </w:pPr>
            <w:r w:rsidRPr="005011BB">
              <w:t>Projekti mõju noorte ettevõtlikkusele, tegususele ja koostööle</w:t>
            </w:r>
          </w:p>
        </w:tc>
        <w:tc>
          <w:tcPr>
            <w:tcW w:w="1063" w:type="dxa"/>
          </w:tcPr>
          <w:p w14:paraId="599501DE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44758A66" w14:textId="77777777" w:rsidR="00877DB5" w:rsidRPr="005011BB" w:rsidRDefault="00877DB5" w:rsidP="005011BB">
            <w:pPr>
              <w:jc w:val="both"/>
            </w:pPr>
            <w:r w:rsidRPr="005011BB">
              <w:t>30%</w:t>
            </w:r>
          </w:p>
        </w:tc>
        <w:tc>
          <w:tcPr>
            <w:tcW w:w="3686" w:type="dxa"/>
            <w:vMerge w:val="restart"/>
          </w:tcPr>
          <w:p w14:paraId="1E3D1B43" w14:textId="782C0614" w:rsidR="00877DB5" w:rsidRPr="005011BB" w:rsidRDefault="00063F69" w:rsidP="005011BB">
            <w:pPr>
              <w:jc w:val="both"/>
            </w:pPr>
            <w:r w:rsidRPr="005011BB">
              <w:t>1. Projekt on suunatud</w:t>
            </w:r>
            <w:r w:rsidR="00877DB5" w:rsidRPr="005011BB">
              <w:t xml:space="preserve"> maaelu positiivse kuvandi säilitamisele ja propageerimisele</w:t>
            </w:r>
            <w:r w:rsidRPr="005011BB">
              <w:t>.</w:t>
            </w:r>
            <w:r w:rsidR="00877DB5" w:rsidRPr="005011BB">
              <w:t xml:space="preserve"> </w:t>
            </w:r>
          </w:p>
          <w:p w14:paraId="294BA565" w14:textId="7384DC05" w:rsidR="00877DB5" w:rsidRPr="005011BB" w:rsidRDefault="00063F69" w:rsidP="005011BB">
            <w:pPr>
              <w:jc w:val="both"/>
            </w:pPr>
            <w:r w:rsidRPr="005011BB">
              <w:t>2. Projekt on suunatud</w:t>
            </w:r>
            <w:r w:rsidR="00877DB5" w:rsidRPr="005011BB">
              <w:t xml:space="preserve"> </w:t>
            </w:r>
            <w:r w:rsidRPr="005011BB">
              <w:t>kohalike ressursside hoidmisele ja väärtustamisele.</w:t>
            </w:r>
          </w:p>
          <w:p w14:paraId="66BC33F9" w14:textId="77AF7FF5" w:rsidR="00063F69" w:rsidRPr="005011BB" w:rsidRDefault="00063F69" w:rsidP="005011BB">
            <w:pPr>
              <w:jc w:val="both"/>
            </w:pPr>
            <w:r w:rsidRPr="005011BB">
              <w:t>3. Projekt on suunatud noorte liidrite võimestamisele.</w:t>
            </w:r>
          </w:p>
          <w:p w14:paraId="5614D52D" w14:textId="1C165C17" w:rsidR="00877DB5" w:rsidRPr="005011BB" w:rsidRDefault="00063F69" w:rsidP="005011BB">
            <w:pPr>
              <w:jc w:val="both"/>
            </w:pPr>
            <w:r w:rsidRPr="005011BB">
              <w:t>4.</w:t>
            </w:r>
            <w:r w:rsidR="00877DB5" w:rsidRPr="005011BB">
              <w:t xml:space="preserve"> </w:t>
            </w:r>
            <w:r w:rsidRPr="005011BB">
              <w:t xml:space="preserve">Projekt on suunatud </w:t>
            </w:r>
            <w:r w:rsidR="00877DB5" w:rsidRPr="005011BB">
              <w:t>keskkonna- ja kliimasõbralike (sh bio- ja ringmajandust propageerivate) lahenduste väljatöötamisele ja rakendamisele</w:t>
            </w:r>
            <w:r w:rsidRPr="005011BB">
              <w:t>.</w:t>
            </w:r>
          </w:p>
          <w:p w14:paraId="7843161B" w14:textId="0BD270E8" w:rsidR="00877DB5" w:rsidRPr="005011BB" w:rsidRDefault="00877DB5" w:rsidP="005011BB">
            <w:pPr>
              <w:jc w:val="both"/>
            </w:pPr>
          </w:p>
        </w:tc>
      </w:tr>
      <w:tr w:rsidR="00877DB5" w:rsidRPr="005011BB" w14:paraId="57F72AA9" w14:textId="77777777" w:rsidTr="00063F69">
        <w:tc>
          <w:tcPr>
            <w:tcW w:w="550" w:type="dxa"/>
          </w:tcPr>
          <w:p w14:paraId="555E4D5B" w14:textId="77777777" w:rsidR="00877DB5" w:rsidRPr="005011BB" w:rsidRDefault="00877DB5" w:rsidP="005011BB">
            <w:pPr>
              <w:jc w:val="both"/>
            </w:pPr>
            <w:r w:rsidRPr="005011BB">
              <w:t>2.</w:t>
            </w:r>
          </w:p>
        </w:tc>
        <w:tc>
          <w:tcPr>
            <w:tcW w:w="3698" w:type="dxa"/>
          </w:tcPr>
          <w:p w14:paraId="1DCA87CF" w14:textId="13DBD2EB" w:rsidR="00877DB5" w:rsidRPr="005011BB" w:rsidRDefault="00877DB5" w:rsidP="005011BB">
            <w:pPr>
              <w:jc w:val="both"/>
            </w:pPr>
            <w:r w:rsidRPr="005011BB">
              <w:t xml:space="preserve">Projekti </w:t>
            </w:r>
            <w:r w:rsidR="007B62FA" w:rsidRPr="005011BB">
              <w:t>lisandväärtus ja uuenduslikkus</w:t>
            </w:r>
          </w:p>
        </w:tc>
        <w:tc>
          <w:tcPr>
            <w:tcW w:w="1063" w:type="dxa"/>
          </w:tcPr>
          <w:p w14:paraId="7DC8CB50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1B2CC855" w14:textId="77777777" w:rsidR="00877DB5" w:rsidRPr="005011BB" w:rsidRDefault="00877DB5" w:rsidP="005011BB">
            <w:pPr>
              <w:jc w:val="both"/>
            </w:pPr>
            <w:r w:rsidRPr="005011BB">
              <w:t>25%</w:t>
            </w:r>
          </w:p>
        </w:tc>
        <w:tc>
          <w:tcPr>
            <w:tcW w:w="3686" w:type="dxa"/>
            <w:vMerge/>
          </w:tcPr>
          <w:p w14:paraId="200E198E" w14:textId="77777777" w:rsidR="00877DB5" w:rsidRPr="005011BB" w:rsidRDefault="00877DB5" w:rsidP="005011BB">
            <w:pPr>
              <w:jc w:val="both"/>
              <w:rPr>
                <w:strike/>
              </w:rPr>
            </w:pPr>
          </w:p>
        </w:tc>
      </w:tr>
      <w:tr w:rsidR="00877DB5" w:rsidRPr="005011BB" w14:paraId="461710A4" w14:textId="77777777" w:rsidTr="00063F69">
        <w:tc>
          <w:tcPr>
            <w:tcW w:w="550" w:type="dxa"/>
          </w:tcPr>
          <w:p w14:paraId="402C7993" w14:textId="77777777" w:rsidR="00877DB5" w:rsidRPr="005011BB" w:rsidRDefault="00877DB5" w:rsidP="005011BB">
            <w:pPr>
              <w:jc w:val="both"/>
            </w:pPr>
            <w:r w:rsidRPr="005011BB">
              <w:t xml:space="preserve">3. </w:t>
            </w:r>
          </w:p>
        </w:tc>
        <w:tc>
          <w:tcPr>
            <w:tcW w:w="3698" w:type="dxa"/>
          </w:tcPr>
          <w:p w14:paraId="0540D0A0" w14:textId="5471178E" w:rsidR="00877DB5" w:rsidRPr="005011BB" w:rsidRDefault="00063F69" w:rsidP="005011BB">
            <w:pPr>
              <w:jc w:val="both"/>
            </w:pPr>
            <w:r w:rsidRPr="005011BB">
              <w:t>Noorte kasusaajate arv</w:t>
            </w:r>
          </w:p>
        </w:tc>
        <w:tc>
          <w:tcPr>
            <w:tcW w:w="1063" w:type="dxa"/>
          </w:tcPr>
          <w:p w14:paraId="229043E6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138983C2" w14:textId="31A71503" w:rsidR="00877DB5" w:rsidRPr="005011BB" w:rsidRDefault="006A7813" w:rsidP="005011BB">
            <w:pPr>
              <w:jc w:val="both"/>
            </w:pPr>
            <w:r w:rsidRPr="005011BB">
              <w:t>15</w:t>
            </w:r>
            <w:r w:rsidR="00877DB5" w:rsidRPr="005011BB">
              <w:t>%</w:t>
            </w:r>
          </w:p>
        </w:tc>
        <w:tc>
          <w:tcPr>
            <w:tcW w:w="3686" w:type="dxa"/>
            <w:vMerge/>
          </w:tcPr>
          <w:p w14:paraId="1D905B9B" w14:textId="77777777" w:rsidR="00877DB5" w:rsidRPr="005011BB" w:rsidRDefault="00877DB5" w:rsidP="005011BB">
            <w:pPr>
              <w:jc w:val="both"/>
            </w:pPr>
          </w:p>
        </w:tc>
      </w:tr>
      <w:tr w:rsidR="00877DB5" w:rsidRPr="005011BB" w14:paraId="20F59137" w14:textId="77777777" w:rsidTr="00063F69">
        <w:tc>
          <w:tcPr>
            <w:tcW w:w="550" w:type="dxa"/>
          </w:tcPr>
          <w:p w14:paraId="7DE63A6B" w14:textId="77777777" w:rsidR="00877DB5" w:rsidRPr="005011BB" w:rsidRDefault="00877DB5" w:rsidP="005011BB">
            <w:pPr>
              <w:jc w:val="both"/>
            </w:pPr>
            <w:r w:rsidRPr="005011BB">
              <w:t xml:space="preserve">4. </w:t>
            </w:r>
          </w:p>
        </w:tc>
        <w:tc>
          <w:tcPr>
            <w:tcW w:w="3698" w:type="dxa"/>
          </w:tcPr>
          <w:p w14:paraId="045C08B8" w14:textId="0410BF94" w:rsidR="00877DB5" w:rsidRPr="005011BB" w:rsidRDefault="00063F69" w:rsidP="005011BB">
            <w:pPr>
              <w:jc w:val="both"/>
            </w:pPr>
            <w:r w:rsidRPr="005011BB">
              <w:t>Kulude põhjendatus</w:t>
            </w:r>
          </w:p>
        </w:tc>
        <w:tc>
          <w:tcPr>
            <w:tcW w:w="1063" w:type="dxa"/>
          </w:tcPr>
          <w:p w14:paraId="59C73968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4AF23E52" w14:textId="311432FD" w:rsidR="00877DB5" w:rsidRPr="005011BB" w:rsidRDefault="00063F69" w:rsidP="005011BB">
            <w:pPr>
              <w:jc w:val="both"/>
            </w:pPr>
            <w:r w:rsidRPr="005011BB">
              <w:t>15</w:t>
            </w:r>
            <w:r w:rsidR="00877DB5" w:rsidRPr="005011BB">
              <w:t>%</w:t>
            </w:r>
          </w:p>
        </w:tc>
        <w:tc>
          <w:tcPr>
            <w:tcW w:w="3686" w:type="dxa"/>
            <w:vMerge/>
          </w:tcPr>
          <w:p w14:paraId="4A4DAD13" w14:textId="77777777" w:rsidR="00877DB5" w:rsidRPr="005011BB" w:rsidRDefault="00877DB5" w:rsidP="005011BB">
            <w:pPr>
              <w:jc w:val="both"/>
            </w:pPr>
          </w:p>
        </w:tc>
      </w:tr>
      <w:tr w:rsidR="00877DB5" w:rsidRPr="005011BB" w14:paraId="7FF8D912" w14:textId="77777777" w:rsidTr="00063F69">
        <w:tc>
          <w:tcPr>
            <w:tcW w:w="550" w:type="dxa"/>
          </w:tcPr>
          <w:p w14:paraId="07D0A042" w14:textId="77777777" w:rsidR="00877DB5" w:rsidRPr="005011BB" w:rsidRDefault="00877DB5" w:rsidP="005011BB">
            <w:pPr>
              <w:jc w:val="both"/>
            </w:pPr>
            <w:r w:rsidRPr="005011BB">
              <w:t>5.</w:t>
            </w:r>
          </w:p>
        </w:tc>
        <w:tc>
          <w:tcPr>
            <w:tcW w:w="3698" w:type="dxa"/>
          </w:tcPr>
          <w:p w14:paraId="69A0BD12" w14:textId="1C7E2C36" w:rsidR="00877DB5" w:rsidRPr="005011BB" w:rsidRDefault="00063F69" w:rsidP="005011BB">
            <w:pPr>
              <w:jc w:val="both"/>
            </w:pPr>
            <w:r w:rsidRPr="005011BB">
              <w:t>Projekti kuuluvus meetme eelistuste hulka</w:t>
            </w:r>
          </w:p>
        </w:tc>
        <w:tc>
          <w:tcPr>
            <w:tcW w:w="1063" w:type="dxa"/>
          </w:tcPr>
          <w:p w14:paraId="5682451D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5EA240C0" w14:textId="6A7C0F71" w:rsidR="00877DB5" w:rsidRPr="005011BB" w:rsidRDefault="00877DB5" w:rsidP="005011BB">
            <w:pPr>
              <w:jc w:val="both"/>
            </w:pPr>
            <w:r w:rsidRPr="005011BB">
              <w:t>1</w:t>
            </w:r>
            <w:r w:rsidR="006A7813" w:rsidRPr="005011BB">
              <w:t>5</w:t>
            </w:r>
            <w:r w:rsidRPr="005011BB">
              <w:t>%</w:t>
            </w:r>
          </w:p>
        </w:tc>
        <w:tc>
          <w:tcPr>
            <w:tcW w:w="3686" w:type="dxa"/>
            <w:vMerge/>
          </w:tcPr>
          <w:p w14:paraId="119AF014" w14:textId="77777777" w:rsidR="00877DB5" w:rsidRPr="005011BB" w:rsidRDefault="00877DB5" w:rsidP="005011BB">
            <w:pPr>
              <w:jc w:val="both"/>
            </w:pPr>
          </w:p>
        </w:tc>
      </w:tr>
    </w:tbl>
    <w:p w14:paraId="4FD7718F" w14:textId="77777777" w:rsidR="00DF7755" w:rsidRPr="005011BB" w:rsidRDefault="00DF7755" w:rsidP="005011BB">
      <w:pPr>
        <w:jc w:val="both"/>
        <w:rPr>
          <w:rFonts w:ascii="Times New Roman" w:hAnsi="Times New Roman" w:cs="Times New Roman"/>
        </w:rPr>
      </w:pPr>
    </w:p>
    <w:p w14:paraId="1AE8D698" w14:textId="77777777" w:rsidR="005011BB" w:rsidRPr="005011BB" w:rsidRDefault="005011BB">
      <w:pPr>
        <w:jc w:val="both"/>
        <w:rPr>
          <w:rFonts w:ascii="Times New Roman" w:hAnsi="Times New Roman" w:cs="Times New Roman"/>
        </w:rPr>
      </w:pPr>
    </w:p>
    <w:sectPr w:rsidR="005011BB" w:rsidRPr="005011B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CB34" w14:textId="77777777" w:rsidR="00780B7E" w:rsidRDefault="00780B7E" w:rsidP="005D1987">
      <w:pPr>
        <w:spacing w:after="0" w:line="240" w:lineRule="auto"/>
      </w:pPr>
      <w:r>
        <w:separator/>
      </w:r>
    </w:p>
  </w:endnote>
  <w:endnote w:type="continuationSeparator" w:id="0">
    <w:p w14:paraId="7CF15554" w14:textId="77777777" w:rsidR="00780B7E" w:rsidRDefault="00780B7E" w:rsidP="005D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70249" w14:textId="77777777" w:rsidR="00780B7E" w:rsidRDefault="00780B7E" w:rsidP="005D1987">
      <w:pPr>
        <w:spacing w:after="0" w:line="240" w:lineRule="auto"/>
      </w:pPr>
      <w:r>
        <w:separator/>
      </w:r>
    </w:p>
  </w:footnote>
  <w:footnote w:type="continuationSeparator" w:id="0">
    <w:p w14:paraId="227CD047" w14:textId="77777777" w:rsidR="00780B7E" w:rsidRDefault="00780B7E" w:rsidP="005D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4C2D" w14:textId="6C2AA3C6" w:rsidR="005D1987" w:rsidRDefault="00703399">
    <w:pPr>
      <w:pStyle w:val="Pis"/>
    </w:pPr>
    <w:r>
      <w:rPr>
        <w:noProof/>
      </w:rPr>
      <w:drawing>
        <wp:inline distT="0" distB="0" distL="0" distR="0" wp14:anchorId="6E60F5AF" wp14:editId="4EFD72D1">
          <wp:extent cx="987425" cy="1005840"/>
          <wp:effectExtent l="0" t="0" r="3175" b="3810"/>
          <wp:docPr id="37248573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5D1987">
      <w:rPr>
        <w:noProof/>
      </w:rPr>
      <w:drawing>
        <wp:inline distT="0" distB="0" distL="0" distR="0" wp14:anchorId="7BFBFD2F" wp14:editId="3C6A1B67">
          <wp:extent cx="1286510" cy="572770"/>
          <wp:effectExtent l="0" t="0" r="8890" b="0"/>
          <wp:docPr id="2025923161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44877"/>
    <w:multiLevelType w:val="hybridMultilevel"/>
    <w:tmpl w:val="8478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83D47"/>
    <w:multiLevelType w:val="hybridMultilevel"/>
    <w:tmpl w:val="DBF2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4867"/>
    <w:multiLevelType w:val="hybridMultilevel"/>
    <w:tmpl w:val="E54E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D5C1C"/>
    <w:multiLevelType w:val="hybridMultilevel"/>
    <w:tmpl w:val="39C0E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334684">
    <w:abstractNumId w:val="0"/>
  </w:num>
  <w:num w:numId="2" w16cid:durableId="886529183">
    <w:abstractNumId w:val="3"/>
  </w:num>
  <w:num w:numId="3" w16cid:durableId="2017029753">
    <w:abstractNumId w:val="2"/>
  </w:num>
  <w:num w:numId="4" w16cid:durableId="7316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12"/>
    <w:rsid w:val="000139BA"/>
    <w:rsid w:val="00063F69"/>
    <w:rsid w:val="000C2FE7"/>
    <w:rsid w:val="001016BE"/>
    <w:rsid w:val="0011735E"/>
    <w:rsid w:val="00140DBE"/>
    <w:rsid w:val="00142CB8"/>
    <w:rsid w:val="001454A9"/>
    <w:rsid w:val="00152BAB"/>
    <w:rsid w:val="00155011"/>
    <w:rsid w:val="0019299F"/>
    <w:rsid w:val="001A1B53"/>
    <w:rsid w:val="001A4C45"/>
    <w:rsid w:val="00205B4A"/>
    <w:rsid w:val="0022572A"/>
    <w:rsid w:val="00236973"/>
    <w:rsid w:val="00247CEA"/>
    <w:rsid w:val="00247FD5"/>
    <w:rsid w:val="00277B92"/>
    <w:rsid w:val="00297883"/>
    <w:rsid w:val="002D72B5"/>
    <w:rsid w:val="003111B0"/>
    <w:rsid w:val="00381D51"/>
    <w:rsid w:val="003E1452"/>
    <w:rsid w:val="00410D16"/>
    <w:rsid w:val="0043126C"/>
    <w:rsid w:val="00463053"/>
    <w:rsid w:val="00473A4A"/>
    <w:rsid w:val="004F5A32"/>
    <w:rsid w:val="00500EE7"/>
    <w:rsid w:val="005011BB"/>
    <w:rsid w:val="00566B4F"/>
    <w:rsid w:val="005D1987"/>
    <w:rsid w:val="006412CC"/>
    <w:rsid w:val="006441FD"/>
    <w:rsid w:val="00646AB5"/>
    <w:rsid w:val="0065193D"/>
    <w:rsid w:val="006613F6"/>
    <w:rsid w:val="00683AFA"/>
    <w:rsid w:val="006A7813"/>
    <w:rsid w:val="006E5E8C"/>
    <w:rsid w:val="00703399"/>
    <w:rsid w:val="00722065"/>
    <w:rsid w:val="007451CC"/>
    <w:rsid w:val="00780B7E"/>
    <w:rsid w:val="00792912"/>
    <w:rsid w:val="007B62FA"/>
    <w:rsid w:val="007C0245"/>
    <w:rsid w:val="007C16BD"/>
    <w:rsid w:val="007F1C10"/>
    <w:rsid w:val="00844003"/>
    <w:rsid w:val="008656DD"/>
    <w:rsid w:val="00877DB5"/>
    <w:rsid w:val="00892958"/>
    <w:rsid w:val="009B1683"/>
    <w:rsid w:val="009D2913"/>
    <w:rsid w:val="00A017A7"/>
    <w:rsid w:val="00A417E4"/>
    <w:rsid w:val="00A92485"/>
    <w:rsid w:val="00AC7186"/>
    <w:rsid w:val="00AF6706"/>
    <w:rsid w:val="00BD5481"/>
    <w:rsid w:val="00C123CF"/>
    <w:rsid w:val="00C47E58"/>
    <w:rsid w:val="00C6483D"/>
    <w:rsid w:val="00C65361"/>
    <w:rsid w:val="00CE1133"/>
    <w:rsid w:val="00DA472B"/>
    <w:rsid w:val="00DF7755"/>
    <w:rsid w:val="00E528D3"/>
    <w:rsid w:val="00E62FC3"/>
    <w:rsid w:val="00E865D9"/>
    <w:rsid w:val="00EB0184"/>
    <w:rsid w:val="00EB401E"/>
    <w:rsid w:val="00EC661F"/>
    <w:rsid w:val="00FC46C0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2F960"/>
  <w15:chartTrackingRefBased/>
  <w15:docId w15:val="{3D17A3BB-2A4E-4007-816A-759C2F3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D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1987"/>
  </w:style>
  <w:style w:type="paragraph" w:styleId="Jalus">
    <w:name w:val="footer"/>
    <w:basedOn w:val="Normaallaad"/>
    <w:link w:val="JalusMrk"/>
    <w:uiPriority w:val="99"/>
    <w:unhideWhenUsed/>
    <w:rsid w:val="005D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1987"/>
  </w:style>
  <w:style w:type="paragraph" w:styleId="Vahedeta">
    <w:name w:val="No Spacing"/>
    <w:uiPriority w:val="1"/>
    <w:qFormat/>
    <w:rsid w:val="005D1987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5D198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47FD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47FD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47FD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47FD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47FD5"/>
    <w:rPr>
      <w:b/>
      <w:bCs/>
      <w:sz w:val="20"/>
      <w:szCs w:val="20"/>
    </w:rPr>
  </w:style>
  <w:style w:type="table" w:styleId="Kontuurtabel">
    <w:name w:val="Table Grid"/>
    <w:basedOn w:val="Normaaltabel"/>
    <w:rsid w:val="008656DD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4574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49452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6962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11962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38585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904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7431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547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357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77193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1838-2E00-40A5-A891-B1C5FBBB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Kristel Pikk</cp:lastModifiedBy>
  <cp:revision>3</cp:revision>
  <dcterms:created xsi:type="dcterms:W3CDTF">2025-08-04T08:13:00Z</dcterms:created>
  <dcterms:modified xsi:type="dcterms:W3CDTF">2025-08-04T08:13:00Z</dcterms:modified>
</cp:coreProperties>
</file>