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E58F0" w14:textId="77777777" w:rsidR="00792912" w:rsidRPr="00683AFA" w:rsidRDefault="00792912" w:rsidP="00722065">
      <w:pPr>
        <w:shd w:val="clear" w:color="auto" w:fill="FFFFFF"/>
        <w:spacing w:after="0" w:line="240" w:lineRule="auto"/>
        <w:jc w:val="both"/>
        <w:rPr>
          <w:rFonts w:ascii="Times New Roman" w:eastAsia="Times New Roman" w:hAnsi="Times New Roman" w:cs="Times New Roman"/>
          <w:b/>
          <w:bCs/>
          <w:color w:val="333333"/>
          <w:sz w:val="24"/>
          <w:szCs w:val="24"/>
        </w:rPr>
      </w:pPr>
      <w:r w:rsidRPr="00683AFA">
        <w:rPr>
          <w:rFonts w:ascii="Times New Roman" w:eastAsia="Times New Roman" w:hAnsi="Times New Roman" w:cs="Times New Roman"/>
          <w:b/>
          <w:bCs/>
          <w:color w:val="333333"/>
          <w:sz w:val="24"/>
          <w:szCs w:val="24"/>
        </w:rPr>
        <w:t>Strateegia meetme rakendamise vajaduse lühikirjeldus:</w:t>
      </w:r>
    </w:p>
    <w:p w14:paraId="1406D4F1" w14:textId="77777777" w:rsidR="00792912"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Piirkonnas on palju mikroettevõtteid ning neil on piiratud ressursid osalemiseks nii riigi sisestel kui piiriülestel koolitustel (tootearendus, turundus, reklaam jne),messidel, et leida koostööpartnerid, vahetada kogemusi ning leida uut turgu. Meetme rakendamisega soovitakse MTÜ Partnerid piirkonna ettevõtluses paremini rakendada kohalikku toorainet, ressurssi, potentsiaali (kohalik inimene, kultuur, loodus, miljööpärand, säästev energia, mereäärne asukoht) ning parandada ettevõtluskeskkonda, suurendada ettevõtlikkust ja ettevõtjate konkurentsivõimet, pakkuda seeläbi elanikele ja külastajatele uusi tooteid ja teenuseid, soodustada ettevõtete integreerimist ja keskkonnasäästlikumat majandamist. Ettevõtlustegevuse mitmekesistamine on üks konkurentsivõime parandamise ja täiendavate sissetulekute saamise võimalusi. Tegevuspiirkonnas on ressursse, mida kasutades on võimalik maa ja linna erinevusi tasakaalustada. Kohaliku ressursi all peetakse silmas nii loodusvarasid, maastikku, tööjõudu, piirkonnale iseloomulikke oskusi ja traditsioone. Meetme rakendamise mõju avaldub uute algatuste ja ettevõtete arvus ning paranenud konkurentsivõimega ettevõtete arvus. Meetme rakendamise tulemusena tekib piirkonda uusi ja parendatud tooteid/teenuseid, töökohti, suureneb ettevõtlikkus ja konkurentsivõime, paranevad ettevõtete töötajate oskused.</w:t>
      </w:r>
    </w:p>
    <w:p w14:paraId="6523EEA6" w14:textId="77777777" w:rsidR="00792912" w:rsidRPr="00683AFA" w:rsidRDefault="00792912" w:rsidP="00722065">
      <w:pPr>
        <w:shd w:val="clear" w:color="auto" w:fill="FFFFFF"/>
        <w:spacing w:after="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b/>
          <w:bCs/>
          <w:color w:val="333333"/>
          <w:sz w:val="24"/>
          <w:szCs w:val="24"/>
        </w:rPr>
        <w:t>Strateegia meetme eesmärk</w:t>
      </w:r>
      <w:r w:rsidRPr="00683AFA">
        <w:rPr>
          <w:rFonts w:ascii="Times New Roman" w:eastAsia="Times New Roman" w:hAnsi="Times New Roman" w:cs="Times New Roman"/>
          <w:color w:val="333333"/>
          <w:sz w:val="24"/>
          <w:szCs w:val="24"/>
        </w:rPr>
        <w:t>:</w:t>
      </w:r>
    </w:p>
    <w:p w14:paraId="2E8752FD" w14:textId="77777777" w:rsidR="00792912"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1. Meetme strateegiline eesmärk: mitmekesine ja konkurentsivõimeline ettevõtlus 2. Alameetme eesmärk: olemasolevate ja potentsiaalsete ettevõtjate ettevõtlikkuse kasv ning paranenud ettevõtete konkurentsivõime. Meetme fookuseks on: • kohalikul ressursil põhinevate uudsete toodete ja teenuste väljaarendamine. Eelistatud on: • kohalikul ressursil põhinevate uudsete toodete ja teenuste väljaarendamine, seejuures kaitstes ja hoides olemasolevaid ressursse</w:t>
      </w:r>
    </w:p>
    <w:p w14:paraId="188770FB" w14:textId="77777777" w:rsidR="00792912" w:rsidRPr="00683AFA" w:rsidRDefault="00792912" w:rsidP="00722065">
      <w:pPr>
        <w:shd w:val="clear" w:color="auto" w:fill="FFFFFF"/>
        <w:spacing w:after="0" w:line="240" w:lineRule="auto"/>
        <w:jc w:val="both"/>
        <w:rPr>
          <w:rFonts w:ascii="Times New Roman" w:eastAsia="Times New Roman" w:hAnsi="Times New Roman" w:cs="Times New Roman"/>
          <w:b/>
          <w:bCs/>
          <w:color w:val="333333"/>
          <w:sz w:val="24"/>
          <w:szCs w:val="24"/>
        </w:rPr>
      </w:pPr>
      <w:r w:rsidRPr="00683AFA">
        <w:rPr>
          <w:rFonts w:ascii="Times New Roman" w:eastAsia="Times New Roman" w:hAnsi="Times New Roman" w:cs="Times New Roman"/>
          <w:b/>
          <w:bCs/>
          <w:color w:val="333333"/>
          <w:sz w:val="24"/>
          <w:szCs w:val="24"/>
        </w:rPr>
        <w:t>Toetatavad tegevused:</w:t>
      </w:r>
    </w:p>
    <w:p w14:paraId="40266720"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Meetmest toetatakse järgmiste tegevuste kulusid:</w:t>
      </w:r>
    </w:p>
    <w:p w14:paraId="1EFB4521"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 • Ettevõtlikkuse suurendamine mitmete ettevõtlust propageerivate ürituste kaudu, sh koolituste, õppereiside, messide jm noorte initsiatiivikust toetavate algatuste käivitamine ja läbiviimine.</w:t>
      </w:r>
    </w:p>
    <w:p w14:paraId="63E00F9E"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 • Ettevõtjate teadmiste ja oskuste edendamine koolituste, töötubade, õppereiside, messide külastamise jms ning mentorite ja ekspertide kaasamise kaudu.</w:t>
      </w:r>
    </w:p>
    <w:p w14:paraId="7CE9095E"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 • Erinevate toodete ja teenuste otseturundamisele suunatud tegevused (sh sisseostetavad tootearendusteenused näit konsultatsioonid, messidel osalemine jm). </w:t>
      </w:r>
    </w:p>
    <w:p w14:paraId="079C872D"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b/>
          <w:bCs/>
          <w:color w:val="333333"/>
          <w:sz w:val="24"/>
          <w:szCs w:val="24"/>
        </w:rPr>
        <w:t>Abikõlbulikud kulud:</w:t>
      </w:r>
    </w:p>
    <w:p w14:paraId="144ED673"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 1. Koolituse (infopäevade, konverentside, õpitubade, koolituste, ettevõtete külastamise, messide külastamise, õppereiside jms) korraldamise kulud (s.h. ruumide, esitlustehnika rent, tõlketeenus, transport, toitlustus, majutus, koolitaja/lektori töötasu, osalemistasud, koolitusmaterjalide koostamise kulud jne)</w:t>
      </w:r>
    </w:p>
    <w:p w14:paraId="3A483AC3"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 2. Ühisprojektide raames korraldatavate ettevõtlust propageerivate ürituste (laadad, messid, töötoad, õppereisid jms) korraldamise ning külastuse (messil osalemistasud, transport, tõlketeenus, toitlustus, majutus jms) kulud </w:t>
      </w:r>
    </w:p>
    <w:p w14:paraId="1F060216" w14:textId="2F85C7A1" w:rsidR="00792912"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3. Toodete ja teenuste otseturundamisele suunatud tegevused eksperdi tasu, messil osalemise kulud sh infokandjate, jaotusmaterjalide valmistamine, kujundamine, tõlkimine, messidel osalemine jms)</w:t>
      </w:r>
    </w:p>
    <w:p w14:paraId="448AC29C" w14:textId="77777777" w:rsidR="00792912" w:rsidRPr="00683AFA" w:rsidRDefault="00792912" w:rsidP="00722065">
      <w:pPr>
        <w:shd w:val="clear" w:color="auto" w:fill="FFFFFF"/>
        <w:spacing w:after="0" w:line="240" w:lineRule="auto"/>
        <w:jc w:val="both"/>
        <w:rPr>
          <w:rFonts w:ascii="Times New Roman" w:eastAsia="Times New Roman" w:hAnsi="Times New Roman" w:cs="Times New Roman"/>
          <w:b/>
          <w:bCs/>
          <w:color w:val="333333"/>
          <w:sz w:val="24"/>
          <w:szCs w:val="24"/>
        </w:rPr>
      </w:pPr>
      <w:r w:rsidRPr="00683AFA">
        <w:rPr>
          <w:rFonts w:ascii="Times New Roman" w:eastAsia="Times New Roman" w:hAnsi="Times New Roman" w:cs="Times New Roman"/>
          <w:b/>
          <w:bCs/>
          <w:color w:val="333333"/>
          <w:sz w:val="24"/>
          <w:szCs w:val="24"/>
        </w:rPr>
        <w:lastRenderedPageBreak/>
        <w:t>Kohaliku tegevusgrupi nõuded projektitoetuse taotlejale ja toetuse saajale (sh. meetmes lubatud taotlejad ning dokumendid, mida peab projektitoetuse taotleja esitama taotluse esitamisel):</w:t>
      </w:r>
    </w:p>
    <w:p w14:paraId="14A5AD3F"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1. Maaeluministri LEADER määrusest tulenevad nõuded;</w:t>
      </w:r>
    </w:p>
    <w:p w14:paraId="57232312"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 2. MTÜ Partnerid täiendavad nõuded: </w:t>
      </w:r>
    </w:p>
    <w:p w14:paraId="392B8876"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2.1.Taotlejateks võivad olla MTÜ Partnerite(enne Haldusreformi) tegevuspiirkonnas registreeritud (juriidiline aadress) ning tegutsevad: ● Mikro-ja väikeettevõtted (OÜ, AS, täisühingud, usaldusühingud, tulundusühistud, FIE-d) ● MTÜ-d, KOV-id ning MTÜ Partnerid. MTÜ Partnerid juriidiline aadress võib olla mujal.</w:t>
      </w:r>
    </w:p>
    <w:p w14:paraId="6295D800"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 2.2.Taotleja (ettevõtja) ei tohi olla majanduslikes raskustes (ei tohi olla riiklikku maksuvõlga, võlakordaja on väiksem kui 0,70, maksevõime näitaja suurem kui 1,00 taotluse esitamisele vahetult eelnenud majandusaasta</w:t>
      </w:r>
    </w:p>
    <w:p w14:paraId="75461338" w14:textId="77777777" w:rsidR="00722065" w:rsidRPr="00683AFA" w:rsidRDefault="00722065"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b/>
          <w:bCs/>
          <w:color w:val="333333"/>
          <w:sz w:val="24"/>
          <w:szCs w:val="24"/>
        </w:rPr>
        <w:t>Projektitaotlusega esitatavad dokumendid</w:t>
      </w:r>
      <w:r w:rsidRPr="00683AFA">
        <w:rPr>
          <w:rFonts w:ascii="Times New Roman" w:eastAsia="Times New Roman" w:hAnsi="Times New Roman" w:cs="Times New Roman"/>
          <w:color w:val="333333"/>
          <w:sz w:val="24"/>
          <w:szCs w:val="24"/>
        </w:rPr>
        <w:t xml:space="preserve">: </w:t>
      </w:r>
    </w:p>
    <w:p w14:paraId="1A15D094"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 ●Maaeluministri LEADER määruses toodud nõutavad dokumendid; </w:t>
      </w:r>
    </w:p>
    <w:p w14:paraId="6CBAE7F5"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 2022.a. bilanss ja kasumi/tulemiaruanne; </w:t>
      </w:r>
    </w:p>
    <w:p w14:paraId="0E096613"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●MTÜ Partnerid projektitoetuse taotleja avaldus, v.a. MTÜ Partnerid</w:t>
      </w:r>
    </w:p>
    <w:p w14:paraId="1A58B27E" w14:textId="18979286" w:rsidR="00792912"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 ●Korraga saab taotlejaks olla ühes projektis, samal ajal võib osaleda veel teistes projektides, kuid mitte taotlejana</w:t>
      </w:r>
      <w:r w:rsidR="00155011" w:rsidRPr="00EC661F">
        <w:rPr>
          <w:rFonts w:ascii="Times New Roman" w:eastAsia="Times New Roman" w:hAnsi="Times New Roman" w:cs="Times New Roman"/>
          <w:sz w:val="24"/>
          <w:szCs w:val="24"/>
        </w:rPr>
        <w:t>, v.a. MTÜ Partnerid, kes võib esitada taotlusperioodi jooksul</w:t>
      </w:r>
      <w:r w:rsidR="00A417E4" w:rsidRPr="00EC661F">
        <w:rPr>
          <w:rFonts w:ascii="Times New Roman" w:eastAsia="Times New Roman" w:hAnsi="Times New Roman" w:cs="Times New Roman"/>
          <w:sz w:val="24"/>
          <w:szCs w:val="24"/>
        </w:rPr>
        <w:t xml:space="preserve"> aastas</w:t>
      </w:r>
      <w:r w:rsidR="00155011" w:rsidRPr="00EC661F">
        <w:rPr>
          <w:rFonts w:ascii="Times New Roman" w:eastAsia="Times New Roman" w:hAnsi="Times New Roman" w:cs="Times New Roman"/>
          <w:sz w:val="24"/>
          <w:szCs w:val="24"/>
        </w:rPr>
        <w:t xml:space="preserve"> mitu projekti.</w:t>
      </w:r>
      <w:r w:rsidRPr="00EC661F">
        <w:rPr>
          <w:rFonts w:ascii="Times New Roman" w:eastAsia="Times New Roman" w:hAnsi="Times New Roman" w:cs="Times New Roman"/>
          <w:sz w:val="24"/>
          <w:szCs w:val="24"/>
        </w:rPr>
        <w:t xml:space="preserve"> </w:t>
      </w:r>
      <w:r w:rsidRPr="00683AFA">
        <w:rPr>
          <w:rFonts w:ascii="Times New Roman" w:eastAsia="Times New Roman" w:hAnsi="Times New Roman" w:cs="Times New Roman"/>
          <w:color w:val="333333"/>
          <w:sz w:val="24"/>
          <w:szCs w:val="24"/>
        </w:rPr>
        <w:t>Projektitaotlused esitatakse tegevusgrupile läbi e-PRIA.</w:t>
      </w:r>
    </w:p>
    <w:p w14:paraId="57C43AC1" w14:textId="77777777" w:rsidR="00792912" w:rsidRPr="00683AFA" w:rsidRDefault="00792912" w:rsidP="00722065">
      <w:pPr>
        <w:shd w:val="clear" w:color="auto" w:fill="FFFFFF"/>
        <w:spacing w:after="0" w:line="240" w:lineRule="auto"/>
        <w:jc w:val="both"/>
        <w:rPr>
          <w:rFonts w:ascii="Times New Roman" w:eastAsia="Times New Roman" w:hAnsi="Times New Roman" w:cs="Times New Roman"/>
          <w:b/>
          <w:bCs/>
          <w:color w:val="333333"/>
          <w:sz w:val="24"/>
          <w:szCs w:val="24"/>
        </w:rPr>
      </w:pPr>
      <w:r w:rsidRPr="00683AFA">
        <w:rPr>
          <w:rFonts w:ascii="Times New Roman" w:eastAsia="Times New Roman" w:hAnsi="Times New Roman" w:cs="Times New Roman"/>
          <w:b/>
          <w:bCs/>
          <w:color w:val="333333"/>
          <w:sz w:val="24"/>
          <w:szCs w:val="24"/>
        </w:rPr>
        <w:t>Toetuse maksimaalne suurus ja määr:</w:t>
      </w:r>
    </w:p>
    <w:p w14:paraId="6B84E177"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Toetuse määr on:</w:t>
      </w:r>
    </w:p>
    <w:p w14:paraId="6B413696"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 Ettevõtjad – kuni 60% toetatava tegevuse abikõlblikest kuludest v.a.teadmussiirde projektid (koolitused), mille toetus on kuni 90%</w:t>
      </w:r>
    </w:p>
    <w:p w14:paraId="5E3B6D60"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 MTÜ ja KOV – kuni 90% toetatava tegevuse abikõlblikest kuludest</w:t>
      </w:r>
    </w:p>
    <w:p w14:paraId="303026F8"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 Maksimaalne toetussumma ühe taotleja kohta on kuni 10 000 eurot. </w:t>
      </w:r>
    </w:p>
    <w:p w14:paraId="1E0ED3AF" w14:textId="28DFE3BA" w:rsidR="00792912"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Projektitoetuse minimaalne määr on 15% toetatava tegevuse abikõlbuliku kulu maksumusest</w:t>
      </w:r>
    </w:p>
    <w:p w14:paraId="39DBA4AF" w14:textId="77777777" w:rsidR="00792912" w:rsidRPr="00683AFA" w:rsidRDefault="00792912" w:rsidP="00722065">
      <w:pPr>
        <w:shd w:val="clear" w:color="auto" w:fill="FFFFFF"/>
        <w:spacing w:after="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b/>
          <w:bCs/>
          <w:color w:val="333333"/>
          <w:sz w:val="24"/>
          <w:szCs w:val="24"/>
        </w:rPr>
        <w:t>Sihtvaldkond, kuhu strateegia meede panustab</w:t>
      </w:r>
      <w:r w:rsidRPr="00683AFA">
        <w:rPr>
          <w:rFonts w:ascii="Times New Roman" w:eastAsia="Times New Roman" w:hAnsi="Times New Roman" w:cs="Times New Roman"/>
          <w:color w:val="333333"/>
          <w:sz w:val="24"/>
          <w:szCs w:val="24"/>
        </w:rPr>
        <w:t>:</w:t>
      </w:r>
    </w:p>
    <w:p w14:paraId="3A49ABAF" w14:textId="77777777" w:rsidR="00792912"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1A, 1B, 1C, 2A, 3A, 6A, 6B</w:t>
      </w:r>
    </w:p>
    <w:p w14:paraId="374C37CF" w14:textId="77777777" w:rsidR="00792912" w:rsidRPr="00683AFA" w:rsidRDefault="00792912" w:rsidP="00722065">
      <w:pPr>
        <w:shd w:val="clear" w:color="auto" w:fill="FFFFFF"/>
        <w:spacing w:after="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Euroopa Parlamendi ja nõukogu määruse (EL) nr 1305/2013 artiklis 5 nimetatud prioriteedid ja määruse artiklid, mille eesmärkide saavutamisele strateegia meetme rakendamine enim kaasa aitab:</w:t>
      </w:r>
    </w:p>
    <w:p w14:paraId="0205D4DF" w14:textId="77777777" w:rsidR="00792912"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Meede vastab Euroopa Parlamendi ja nõukogu määruse (EL) nr 1305/2013 artiklis 5 toodud prioriteetidele: nr 1: Teadmussiirde ja innovatsiooni tugevdamine põllumajanduses, metsanduses ja maapiirkondades nr 2: Põllumajandusettevõtete elujõulisuse ja kõigi põllumajandusvormide konkurentsivõime parandamine kõigis piirkondades ning uuenduslike põllumajandustehnoloogiate ja metsade säästva majandamise edendamine nr 3: Toiduahela korraldamise, sealhulgas põllumajandustoodete töötlemise ja turustamise, loomade heaolu ja riskijuhtimise edendamine põllumajanduses nr 6: Sotsiaalse kaasatuse, vaesuse vähendamise ja majanduskasvu edendamine maapiirkondades Artikkel 14 – Teadmussiire ja teavitus Artikkel 19 - Põllumajandusettevõtete ja ettevõtluse areng Artikkel 35 - Koostöö</w:t>
      </w:r>
    </w:p>
    <w:p w14:paraId="34C42C3B" w14:textId="77777777" w:rsidR="00792912" w:rsidRPr="00683AFA" w:rsidRDefault="00792912" w:rsidP="00722065">
      <w:pPr>
        <w:shd w:val="clear" w:color="auto" w:fill="FFFFFF"/>
        <w:spacing w:after="0" w:line="240" w:lineRule="auto"/>
        <w:jc w:val="both"/>
        <w:rPr>
          <w:rFonts w:ascii="Times New Roman" w:eastAsia="Times New Roman" w:hAnsi="Times New Roman" w:cs="Times New Roman"/>
          <w:b/>
          <w:bCs/>
          <w:color w:val="333333"/>
          <w:sz w:val="24"/>
          <w:szCs w:val="24"/>
        </w:rPr>
      </w:pPr>
      <w:r w:rsidRPr="00683AFA">
        <w:rPr>
          <w:rFonts w:ascii="Times New Roman" w:eastAsia="Times New Roman" w:hAnsi="Times New Roman" w:cs="Times New Roman"/>
          <w:b/>
          <w:bCs/>
          <w:color w:val="333333"/>
          <w:sz w:val="24"/>
          <w:szCs w:val="24"/>
        </w:rPr>
        <w:lastRenderedPageBreak/>
        <w:t>Strateegia meede kattub Eesti maaelu arengukava 2014-2020 meetmega:</w:t>
      </w:r>
    </w:p>
    <w:p w14:paraId="64E19645" w14:textId="77777777" w:rsidR="00792912"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Ei</w:t>
      </w:r>
    </w:p>
    <w:p w14:paraId="3D4EC6CF" w14:textId="77777777" w:rsidR="00792912" w:rsidRPr="00683AFA" w:rsidRDefault="00792912" w:rsidP="00722065">
      <w:pPr>
        <w:shd w:val="clear" w:color="auto" w:fill="FFFFFF"/>
        <w:spacing w:after="0" w:line="240" w:lineRule="auto"/>
        <w:jc w:val="both"/>
        <w:rPr>
          <w:rFonts w:ascii="Times New Roman" w:eastAsia="Times New Roman" w:hAnsi="Times New Roman" w:cs="Times New Roman"/>
          <w:b/>
          <w:bCs/>
          <w:color w:val="333333"/>
          <w:sz w:val="24"/>
          <w:szCs w:val="24"/>
        </w:rPr>
      </w:pPr>
      <w:r w:rsidRPr="00683AFA">
        <w:rPr>
          <w:rFonts w:ascii="Times New Roman" w:eastAsia="Times New Roman" w:hAnsi="Times New Roman" w:cs="Times New Roman"/>
          <w:b/>
          <w:bCs/>
          <w:color w:val="333333"/>
          <w:sz w:val="24"/>
          <w:szCs w:val="24"/>
        </w:rPr>
        <w:t>Strateegia meetme indikaatorid ja sihttasemed:</w:t>
      </w:r>
    </w:p>
    <w:p w14:paraId="122DC2B4" w14:textId="77777777" w:rsidR="00792912" w:rsidRPr="00683AFA" w:rsidRDefault="00792912" w:rsidP="00683AFA">
      <w:pPr>
        <w:shd w:val="clear" w:color="auto" w:fill="FFFFFF"/>
        <w:spacing w:after="120" w:line="240" w:lineRule="auto"/>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Mõjuindikaatorid: • Uute ettevõtete arv Eesmärk: ettevõtete arvu kasv vähemalt 50% võrreldes baasaastaga (2007-2014 – 75%) Allikas: Statistikaamet • Projekti elluviimise tulemusena loodud uute toodete/teenuste arv Eesmärk: 10 uut toodet/teenust Allikas: Projekti aruandlus • Paranenud konkurentsivõimega ettevõtete arv Eesmärk: 50 ettevõtet Allikas: Projekti aruandlus Väljund- ja tulemusindikaatorid: • Toetatud projektide arv Eesmärk: vähemalt 8 projekti Allikas: Projektitaotlused • Ettevõtete konkurentsivõime suurendamisele suunatud projektide arv Eesmärk: vähemalt 5 projekti kokku Allikas: Projektitaotlused, rahastatud projektide mõju-uuring</w:t>
      </w:r>
    </w:p>
    <w:p w14:paraId="00931C28" w14:textId="77777777" w:rsidR="00792912" w:rsidRPr="00683AFA" w:rsidRDefault="00792912" w:rsidP="00722065">
      <w:pPr>
        <w:shd w:val="clear" w:color="auto" w:fill="FFFFFF"/>
        <w:spacing w:after="0" w:line="240" w:lineRule="auto"/>
        <w:jc w:val="both"/>
        <w:rPr>
          <w:rFonts w:ascii="Times New Roman" w:eastAsia="Times New Roman" w:hAnsi="Times New Roman" w:cs="Times New Roman"/>
          <w:b/>
          <w:bCs/>
          <w:color w:val="333333"/>
          <w:sz w:val="24"/>
          <w:szCs w:val="24"/>
        </w:rPr>
      </w:pPr>
      <w:r w:rsidRPr="00683AFA">
        <w:rPr>
          <w:rFonts w:ascii="Times New Roman" w:eastAsia="Times New Roman" w:hAnsi="Times New Roman" w:cs="Times New Roman"/>
          <w:b/>
          <w:bCs/>
          <w:color w:val="333333"/>
          <w:sz w:val="24"/>
          <w:szCs w:val="24"/>
        </w:rPr>
        <w:t>Projektitoetuse taotluste hindamiskriteeriumid:</w:t>
      </w:r>
    </w:p>
    <w:p w14:paraId="1FCB0528"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Hindamiskriteeriumid:</w:t>
      </w:r>
    </w:p>
    <w:p w14:paraId="4DB47A5E"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1) Projekti mõju ettevõtjate ettevõtlikkusele ja konkurentsivõimele, hindepunktide skaala 1-5, osakaal 30% </w:t>
      </w:r>
    </w:p>
    <w:p w14:paraId="3D51D505"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2) Projekti tulemuste jätkusuutlikkus, hindepunktide skaala 1-5, osakaal 20% </w:t>
      </w:r>
    </w:p>
    <w:p w14:paraId="6B20554D"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3) Projekti lisandväärtus ja uuenduslikkus, hindepunktide skaala 1-5, osakaal 20% </w:t>
      </w:r>
    </w:p>
    <w:p w14:paraId="7A19B7A5"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4) Projektis osalejate arv, hindepunktide skaala 1-5, osakaal 15% </w:t>
      </w:r>
    </w:p>
    <w:p w14:paraId="74893FF1" w14:textId="77777777" w:rsidR="00722065"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 xml:space="preserve">5) Kulude otstarbekus, hindepunktide skaala 1-5, osakaal 10% 6) Projekti kuuluvus meetme eelistuste hulka, hindepunktide skaala 1-5, osakaal 5% </w:t>
      </w:r>
    </w:p>
    <w:p w14:paraId="26ABD6D1" w14:textId="47A7342B" w:rsidR="00792912"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Eelistused: Eelistatud on projektid, mille fookuseks on kohalikul ressursil põhinevate uudsete toodete ja teenuste väljaarendamine, seejuures kaitstes ja hoides olemasolevaid ressursse.</w:t>
      </w:r>
    </w:p>
    <w:p w14:paraId="4FD7718F" w14:textId="77777777" w:rsidR="00DF7755" w:rsidRPr="00683AFA" w:rsidRDefault="00DF7755" w:rsidP="00722065">
      <w:pPr>
        <w:jc w:val="both"/>
        <w:rPr>
          <w:rFonts w:ascii="Times New Roman" w:hAnsi="Times New Roman" w:cs="Times New Roman"/>
        </w:rPr>
      </w:pPr>
    </w:p>
    <w:sectPr w:rsidR="00DF7755" w:rsidRPr="00683A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12"/>
    <w:rsid w:val="00155011"/>
    <w:rsid w:val="00683AFA"/>
    <w:rsid w:val="00722065"/>
    <w:rsid w:val="00792912"/>
    <w:rsid w:val="007C0245"/>
    <w:rsid w:val="00A417E4"/>
    <w:rsid w:val="00DF7755"/>
    <w:rsid w:val="00EC66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F960"/>
  <w15:chartTrackingRefBased/>
  <w15:docId w15:val="{3D17A3BB-2A4E-4007-816A-759C2F3D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3345">
      <w:bodyDiv w:val="1"/>
      <w:marLeft w:val="0"/>
      <w:marRight w:val="0"/>
      <w:marTop w:val="0"/>
      <w:marBottom w:val="0"/>
      <w:divBdr>
        <w:top w:val="none" w:sz="0" w:space="0" w:color="auto"/>
        <w:left w:val="none" w:sz="0" w:space="0" w:color="auto"/>
        <w:bottom w:val="none" w:sz="0" w:space="0" w:color="auto"/>
        <w:right w:val="none" w:sz="0" w:space="0" w:color="auto"/>
      </w:divBdr>
      <w:divsChild>
        <w:div w:id="1668434574">
          <w:marLeft w:val="-225"/>
          <w:marRight w:val="-225"/>
          <w:marTop w:val="0"/>
          <w:marBottom w:val="120"/>
          <w:divBdr>
            <w:top w:val="none" w:sz="0" w:space="0" w:color="auto"/>
            <w:left w:val="none" w:sz="0" w:space="0" w:color="auto"/>
            <w:bottom w:val="none" w:sz="0" w:space="0" w:color="auto"/>
            <w:right w:val="none" w:sz="0" w:space="0" w:color="auto"/>
          </w:divBdr>
          <w:divsChild>
            <w:div w:id="538132857">
              <w:marLeft w:val="0"/>
              <w:marRight w:val="0"/>
              <w:marTop w:val="0"/>
              <w:marBottom w:val="0"/>
              <w:divBdr>
                <w:top w:val="none" w:sz="0" w:space="0" w:color="auto"/>
                <w:left w:val="none" w:sz="0" w:space="0" w:color="auto"/>
                <w:bottom w:val="none" w:sz="0" w:space="0" w:color="auto"/>
                <w:right w:val="none" w:sz="0" w:space="0" w:color="auto"/>
              </w:divBdr>
              <w:divsChild>
                <w:div w:id="21215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452">
          <w:marLeft w:val="-225"/>
          <w:marRight w:val="-225"/>
          <w:marTop w:val="0"/>
          <w:marBottom w:val="120"/>
          <w:divBdr>
            <w:top w:val="none" w:sz="0" w:space="0" w:color="auto"/>
            <w:left w:val="none" w:sz="0" w:space="0" w:color="auto"/>
            <w:bottom w:val="none" w:sz="0" w:space="0" w:color="auto"/>
            <w:right w:val="none" w:sz="0" w:space="0" w:color="auto"/>
          </w:divBdr>
          <w:divsChild>
            <w:div w:id="1400323089">
              <w:marLeft w:val="0"/>
              <w:marRight w:val="0"/>
              <w:marTop w:val="0"/>
              <w:marBottom w:val="0"/>
              <w:divBdr>
                <w:top w:val="none" w:sz="0" w:space="0" w:color="auto"/>
                <w:left w:val="none" w:sz="0" w:space="0" w:color="auto"/>
                <w:bottom w:val="none" w:sz="0" w:space="0" w:color="auto"/>
                <w:right w:val="none" w:sz="0" w:space="0" w:color="auto"/>
              </w:divBdr>
              <w:divsChild>
                <w:div w:id="14118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6962">
          <w:marLeft w:val="-225"/>
          <w:marRight w:val="-225"/>
          <w:marTop w:val="0"/>
          <w:marBottom w:val="120"/>
          <w:divBdr>
            <w:top w:val="none" w:sz="0" w:space="0" w:color="auto"/>
            <w:left w:val="none" w:sz="0" w:space="0" w:color="auto"/>
            <w:bottom w:val="none" w:sz="0" w:space="0" w:color="auto"/>
            <w:right w:val="none" w:sz="0" w:space="0" w:color="auto"/>
          </w:divBdr>
          <w:divsChild>
            <w:div w:id="1933126066">
              <w:marLeft w:val="0"/>
              <w:marRight w:val="0"/>
              <w:marTop w:val="0"/>
              <w:marBottom w:val="0"/>
              <w:divBdr>
                <w:top w:val="none" w:sz="0" w:space="0" w:color="auto"/>
                <w:left w:val="none" w:sz="0" w:space="0" w:color="auto"/>
                <w:bottom w:val="none" w:sz="0" w:space="0" w:color="auto"/>
                <w:right w:val="none" w:sz="0" w:space="0" w:color="auto"/>
              </w:divBdr>
              <w:divsChild>
                <w:div w:id="1983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1962">
          <w:marLeft w:val="-225"/>
          <w:marRight w:val="-225"/>
          <w:marTop w:val="0"/>
          <w:marBottom w:val="120"/>
          <w:divBdr>
            <w:top w:val="none" w:sz="0" w:space="0" w:color="auto"/>
            <w:left w:val="none" w:sz="0" w:space="0" w:color="auto"/>
            <w:bottom w:val="none" w:sz="0" w:space="0" w:color="auto"/>
            <w:right w:val="none" w:sz="0" w:space="0" w:color="auto"/>
          </w:divBdr>
          <w:divsChild>
            <w:div w:id="1321302513">
              <w:marLeft w:val="0"/>
              <w:marRight w:val="0"/>
              <w:marTop w:val="0"/>
              <w:marBottom w:val="0"/>
              <w:divBdr>
                <w:top w:val="none" w:sz="0" w:space="0" w:color="auto"/>
                <w:left w:val="none" w:sz="0" w:space="0" w:color="auto"/>
                <w:bottom w:val="none" w:sz="0" w:space="0" w:color="auto"/>
                <w:right w:val="none" w:sz="0" w:space="0" w:color="auto"/>
              </w:divBdr>
              <w:divsChild>
                <w:div w:id="821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8585">
          <w:marLeft w:val="-225"/>
          <w:marRight w:val="-225"/>
          <w:marTop w:val="0"/>
          <w:marBottom w:val="120"/>
          <w:divBdr>
            <w:top w:val="none" w:sz="0" w:space="0" w:color="auto"/>
            <w:left w:val="none" w:sz="0" w:space="0" w:color="auto"/>
            <w:bottom w:val="none" w:sz="0" w:space="0" w:color="auto"/>
            <w:right w:val="none" w:sz="0" w:space="0" w:color="auto"/>
          </w:divBdr>
          <w:divsChild>
            <w:div w:id="1587764840">
              <w:marLeft w:val="0"/>
              <w:marRight w:val="0"/>
              <w:marTop w:val="0"/>
              <w:marBottom w:val="0"/>
              <w:divBdr>
                <w:top w:val="none" w:sz="0" w:space="0" w:color="auto"/>
                <w:left w:val="none" w:sz="0" w:space="0" w:color="auto"/>
                <w:bottom w:val="none" w:sz="0" w:space="0" w:color="auto"/>
                <w:right w:val="none" w:sz="0" w:space="0" w:color="auto"/>
              </w:divBdr>
              <w:divsChild>
                <w:div w:id="4328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049">
          <w:marLeft w:val="-225"/>
          <w:marRight w:val="-225"/>
          <w:marTop w:val="0"/>
          <w:marBottom w:val="120"/>
          <w:divBdr>
            <w:top w:val="none" w:sz="0" w:space="0" w:color="auto"/>
            <w:left w:val="none" w:sz="0" w:space="0" w:color="auto"/>
            <w:bottom w:val="none" w:sz="0" w:space="0" w:color="auto"/>
            <w:right w:val="none" w:sz="0" w:space="0" w:color="auto"/>
          </w:divBdr>
          <w:divsChild>
            <w:div w:id="592056311">
              <w:marLeft w:val="0"/>
              <w:marRight w:val="0"/>
              <w:marTop w:val="0"/>
              <w:marBottom w:val="0"/>
              <w:divBdr>
                <w:top w:val="none" w:sz="0" w:space="0" w:color="auto"/>
                <w:left w:val="none" w:sz="0" w:space="0" w:color="auto"/>
                <w:bottom w:val="none" w:sz="0" w:space="0" w:color="auto"/>
                <w:right w:val="none" w:sz="0" w:space="0" w:color="auto"/>
              </w:divBdr>
              <w:divsChild>
                <w:div w:id="1820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7431">
          <w:marLeft w:val="-225"/>
          <w:marRight w:val="-225"/>
          <w:marTop w:val="0"/>
          <w:marBottom w:val="120"/>
          <w:divBdr>
            <w:top w:val="none" w:sz="0" w:space="0" w:color="auto"/>
            <w:left w:val="none" w:sz="0" w:space="0" w:color="auto"/>
            <w:bottom w:val="none" w:sz="0" w:space="0" w:color="auto"/>
            <w:right w:val="none" w:sz="0" w:space="0" w:color="auto"/>
          </w:divBdr>
          <w:divsChild>
            <w:div w:id="1032725138">
              <w:marLeft w:val="0"/>
              <w:marRight w:val="0"/>
              <w:marTop w:val="0"/>
              <w:marBottom w:val="0"/>
              <w:divBdr>
                <w:top w:val="none" w:sz="0" w:space="0" w:color="auto"/>
                <w:left w:val="none" w:sz="0" w:space="0" w:color="auto"/>
                <w:bottom w:val="none" w:sz="0" w:space="0" w:color="auto"/>
                <w:right w:val="none" w:sz="0" w:space="0" w:color="auto"/>
              </w:divBdr>
              <w:divsChild>
                <w:div w:id="20489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5478">
          <w:marLeft w:val="-225"/>
          <w:marRight w:val="-225"/>
          <w:marTop w:val="0"/>
          <w:marBottom w:val="120"/>
          <w:divBdr>
            <w:top w:val="none" w:sz="0" w:space="0" w:color="auto"/>
            <w:left w:val="none" w:sz="0" w:space="0" w:color="auto"/>
            <w:bottom w:val="none" w:sz="0" w:space="0" w:color="auto"/>
            <w:right w:val="none" w:sz="0" w:space="0" w:color="auto"/>
          </w:divBdr>
          <w:divsChild>
            <w:div w:id="75322307">
              <w:marLeft w:val="0"/>
              <w:marRight w:val="0"/>
              <w:marTop w:val="0"/>
              <w:marBottom w:val="0"/>
              <w:divBdr>
                <w:top w:val="none" w:sz="0" w:space="0" w:color="auto"/>
                <w:left w:val="none" w:sz="0" w:space="0" w:color="auto"/>
                <w:bottom w:val="none" w:sz="0" w:space="0" w:color="auto"/>
                <w:right w:val="none" w:sz="0" w:space="0" w:color="auto"/>
              </w:divBdr>
              <w:divsChild>
                <w:div w:id="15580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3578">
          <w:marLeft w:val="-225"/>
          <w:marRight w:val="-225"/>
          <w:marTop w:val="0"/>
          <w:marBottom w:val="120"/>
          <w:divBdr>
            <w:top w:val="none" w:sz="0" w:space="0" w:color="auto"/>
            <w:left w:val="none" w:sz="0" w:space="0" w:color="auto"/>
            <w:bottom w:val="none" w:sz="0" w:space="0" w:color="auto"/>
            <w:right w:val="none" w:sz="0" w:space="0" w:color="auto"/>
          </w:divBdr>
          <w:divsChild>
            <w:div w:id="1136801650">
              <w:marLeft w:val="0"/>
              <w:marRight w:val="0"/>
              <w:marTop w:val="0"/>
              <w:marBottom w:val="0"/>
              <w:divBdr>
                <w:top w:val="none" w:sz="0" w:space="0" w:color="auto"/>
                <w:left w:val="none" w:sz="0" w:space="0" w:color="auto"/>
                <w:bottom w:val="none" w:sz="0" w:space="0" w:color="auto"/>
                <w:right w:val="none" w:sz="0" w:space="0" w:color="auto"/>
              </w:divBdr>
              <w:divsChild>
                <w:div w:id="21276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7193">
          <w:marLeft w:val="-225"/>
          <w:marRight w:val="-225"/>
          <w:marTop w:val="0"/>
          <w:marBottom w:val="120"/>
          <w:divBdr>
            <w:top w:val="none" w:sz="0" w:space="0" w:color="auto"/>
            <w:left w:val="none" w:sz="0" w:space="0" w:color="auto"/>
            <w:bottom w:val="none" w:sz="0" w:space="0" w:color="auto"/>
            <w:right w:val="none" w:sz="0" w:space="0" w:color="auto"/>
          </w:divBdr>
          <w:divsChild>
            <w:div w:id="1435829523">
              <w:marLeft w:val="0"/>
              <w:marRight w:val="0"/>
              <w:marTop w:val="0"/>
              <w:marBottom w:val="0"/>
              <w:divBdr>
                <w:top w:val="none" w:sz="0" w:space="0" w:color="auto"/>
                <w:left w:val="none" w:sz="0" w:space="0" w:color="auto"/>
                <w:bottom w:val="none" w:sz="0" w:space="0" w:color="auto"/>
                <w:right w:val="none" w:sz="0" w:space="0" w:color="auto"/>
              </w:divBdr>
              <w:divsChild>
                <w:div w:id="14189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1094</Words>
  <Characters>6351</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Kristel Pikk</cp:lastModifiedBy>
  <cp:revision>6</cp:revision>
  <dcterms:created xsi:type="dcterms:W3CDTF">2023-05-12T06:42:00Z</dcterms:created>
  <dcterms:modified xsi:type="dcterms:W3CDTF">2023-07-04T08:03:00Z</dcterms:modified>
</cp:coreProperties>
</file>